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196E" w14:textId="77777777" w:rsidR="00B23447" w:rsidRDefault="00C84104" w:rsidP="00127B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0"/>
          <w:szCs w:val="30"/>
        </w:rPr>
      </w:pPr>
      <w:r>
        <w:rPr>
          <w:rFonts w:ascii="Calibri,Bold" w:hAnsi="Calibri,Bold" w:cs="Calibri,Bold"/>
          <w:b/>
          <w:bCs/>
          <w:sz w:val="30"/>
          <w:szCs w:val="30"/>
        </w:rPr>
        <w:t xml:space="preserve">Charte de fonctionnement </w:t>
      </w:r>
    </w:p>
    <w:p w14:paraId="7DF68459" w14:textId="77777777" w:rsidR="007D2CAC" w:rsidRPr="007D2CAC" w:rsidRDefault="007D2CAC" w:rsidP="00127B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14:paraId="7540400B" w14:textId="77777777" w:rsidR="007D2CAC" w:rsidRPr="00113B78" w:rsidRDefault="007D2CAC" w:rsidP="007D2C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113B78">
        <w:rPr>
          <w:rFonts w:ascii="Calibri,Bold" w:hAnsi="Calibri,Bold" w:cs="Calibri,Bold"/>
          <w:b/>
          <w:bCs/>
          <w:sz w:val="24"/>
          <w:szCs w:val="24"/>
        </w:rPr>
        <w:t xml:space="preserve">Réunion pluridisciplinaire transversale de Biologie Moléculaire – </w:t>
      </w:r>
    </w:p>
    <w:p w14:paraId="3CE5CD9F" w14:textId="77777777" w:rsidR="00E26885" w:rsidRPr="00113B78" w:rsidRDefault="007D2CAC" w:rsidP="007D2C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113B78">
        <w:rPr>
          <w:rFonts w:ascii="Calibri,Bold" w:hAnsi="Calibri,Bold" w:cs="Calibri,Bold"/>
          <w:b/>
          <w:bCs/>
          <w:sz w:val="24"/>
          <w:szCs w:val="24"/>
        </w:rPr>
        <w:t>Institut Paoli-</w:t>
      </w:r>
      <w:proofErr w:type="spellStart"/>
      <w:r w:rsidRPr="00113B78">
        <w:rPr>
          <w:rFonts w:ascii="Calibri,Bold" w:hAnsi="Calibri,Bold" w:cs="Calibri,Bold"/>
          <w:b/>
          <w:bCs/>
          <w:sz w:val="24"/>
          <w:szCs w:val="24"/>
        </w:rPr>
        <w:t>Calmettes</w:t>
      </w:r>
      <w:proofErr w:type="spellEnd"/>
      <w:r w:rsidRPr="00113B78">
        <w:rPr>
          <w:rFonts w:ascii="Calibri,Bold" w:hAnsi="Calibri,Bold" w:cs="Calibri,Bold"/>
          <w:b/>
          <w:bCs/>
          <w:sz w:val="24"/>
          <w:szCs w:val="24"/>
        </w:rPr>
        <w:t xml:space="preserve"> (</w:t>
      </w:r>
      <w:r w:rsidR="003F44EB">
        <w:rPr>
          <w:rFonts w:ascii="Calibri,Bold" w:hAnsi="Calibri,Bold" w:cs="Calibri,Bold"/>
          <w:b/>
          <w:bCs/>
          <w:sz w:val="24"/>
          <w:szCs w:val="24"/>
        </w:rPr>
        <w:t xml:space="preserve">PACA-Ouest </w:t>
      </w:r>
      <w:r w:rsidRPr="00113B78">
        <w:rPr>
          <w:rFonts w:ascii="Calibri,Bold" w:hAnsi="Calibri,Bold" w:cs="Calibri,Bold"/>
          <w:b/>
          <w:bCs/>
          <w:sz w:val="24"/>
          <w:szCs w:val="24"/>
        </w:rPr>
        <w:t>Marseille)</w:t>
      </w:r>
    </w:p>
    <w:p w14:paraId="570E2EB1" w14:textId="77777777" w:rsidR="000D0936" w:rsidRPr="000D0936" w:rsidRDefault="000D0936" w:rsidP="000D093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6"/>
          <w:szCs w:val="16"/>
        </w:rPr>
      </w:pPr>
    </w:p>
    <w:p w14:paraId="562225A6" w14:textId="77777777" w:rsidR="00C84104" w:rsidRPr="00E32111" w:rsidRDefault="00971A81" w:rsidP="00B0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rPr>
          <w:b/>
        </w:rPr>
      </w:pPr>
      <w:r w:rsidRPr="00AB4F7F">
        <w:rPr>
          <w:b/>
          <w:shd w:val="clear" w:color="auto" w:fill="99CCFF"/>
        </w:rPr>
        <w:t>Conte</w:t>
      </w:r>
      <w:r>
        <w:rPr>
          <w:b/>
        </w:rPr>
        <w:t>xte</w:t>
      </w:r>
    </w:p>
    <w:p w14:paraId="770B39FA" w14:textId="77777777" w:rsidR="003961AE" w:rsidRDefault="00C84104" w:rsidP="000D0936">
      <w:pPr>
        <w:spacing w:after="0"/>
        <w:jc w:val="both"/>
        <w:rPr>
          <w:b/>
          <w:color w:val="2D2D2D"/>
        </w:rPr>
      </w:pPr>
      <w:r>
        <w:t xml:space="preserve">Répondre à </w:t>
      </w:r>
      <w:r w:rsidR="00684CFE">
        <w:rPr>
          <w:b/>
        </w:rPr>
        <w:t>l’action 6 .2 du</w:t>
      </w:r>
      <w:r w:rsidRPr="000C552B">
        <w:rPr>
          <w:b/>
        </w:rPr>
        <w:t xml:space="preserve"> Plan Cancer </w:t>
      </w:r>
      <w:r w:rsidR="003961AE">
        <w:rPr>
          <w:b/>
        </w:rPr>
        <w:t xml:space="preserve">3 </w:t>
      </w:r>
      <w:r w:rsidR="00A27F90">
        <w:t xml:space="preserve">et au </w:t>
      </w:r>
      <w:r w:rsidR="00A27F90" w:rsidRPr="000C552B">
        <w:rPr>
          <w:b/>
          <w:color w:val="2D2D2D"/>
        </w:rPr>
        <w:t>Projet médico-scientifique</w:t>
      </w:r>
      <w:r w:rsidR="00606D25">
        <w:rPr>
          <w:b/>
          <w:color w:val="2D2D2D"/>
        </w:rPr>
        <w:t xml:space="preserve"> </w:t>
      </w:r>
      <w:r w:rsidR="00B85EBC">
        <w:rPr>
          <w:b/>
          <w:color w:val="2D2D2D"/>
        </w:rPr>
        <w:t>d’</w:t>
      </w:r>
      <w:proofErr w:type="spellStart"/>
      <w:r w:rsidR="00B85EBC" w:rsidRPr="000C552B">
        <w:rPr>
          <w:b/>
          <w:color w:val="2D2D2D"/>
        </w:rPr>
        <w:t>U</w:t>
      </w:r>
      <w:r w:rsidR="00330D8B" w:rsidRPr="000C552B">
        <w:rPr>
          <w:b/>
          <w:color w:val="2D2D2D"/>
        </w:rPr>
        <w:t>nicancer</w:t>
      </w:r>
      <w:proofErr w:type="spellEnd"/>
      <w:r w:rsidR="00330D8B">
        <w:rPr>
          <w:b/>
          <w:color w:val="2D2D2D"/>
        </w:rPr>
        <w:t> </w:t>
      </w:r>
    </w:p>
    <w:p w14:paraId="04BC2283" w14:textId="77777777" w:rsidR="00971A81" w:rsidRDefault="003961AE" w:rsidP="000D0936">
      <w:pPr>
        <w:spacing w:after="0"/>
        <w:jc w:val="both"/>
      </w:pPr>
      <w:r w:rsidRPr="00127B36">
        <w:t>Garantir</w:t>
      </w:r>
      <w:r w:rsidRPr="00127B36">
        <w:rPr>
          <w:b/>
        </w:rPr>
        <w:t xml:space="preserve"> </w:t>
      </w:r>
      <w:r w:rsidRPr="00127B36">
        <w:t xml:space="preserve">aux patients </w:t>
      </w:r>
      <w:r w:rsidR="000276E5" w:rsidRPr="00127B36">
        <w:t xml:space="preserve">de la région PACA-Corse </w:t>
      </w:r>
      <w:r w:rsidRPr="00127B36">
        <w:t>atteints de cancer</w:t>
      </w:r>
      <w:r w:rsidR="00B03C5F" w:rsidRPr="00127B36">
        <w:t>,</w:t>
      </w:r>
      <w:r w:rsidRPr="00127B36">
        <w:t xml:space="preserve"> </w:t>
      </w:r>
      <w:r w:rsidR="00B03C5F" w:rsidRPr="00127B36">
        <w:t xml:space="preserve">quels que soient les praticiens et les établissements assurant leur prise en charge, </w:t>
      </w:r>
      <w:r w:rsidRPr="00127B36">
        <w:t>un</w:t>
      </w:r>
      <w:r w:rsidR="00685310" w:rsidRPr="00127B36">
        <w:t xml:space="preserve"> </w:t>
      </w:r>
      <w:r w:rsidRPr="00127B36">
        <w:t xml:space="preserve">égal </w:t>
      </w:r>
      <w:r w:rsidR="006F36E2" w:rsidRPr="00127B36">
        <w:rPr>
          <w:rStyle w:val="st"/>
        </w:rPr>
        <w:t>accès</w:t>
      </w:r>
      <w:r w:rsidR="00685310" w:rsidRPr="00127B36">
        <w:rPr>
          <w:rStyle w:val="st"/>
        </w:rPr>
        <w:t xml:space="preserve"> </w:t>
      </w:r>
      <w:r w:rsidR="006F36E2" w:rsidRPr="00127B36">
        <w:rPr>
          <w:rStyle w:val="st"/>
        </w:rPr>
        <w:t>aux test</w:t>
      </w:r>
      <w:r w:rsidR="00971A81" w:rsidRPr="00127B36">
        <w:rPr>
          <w:rStyle w:val="st"/>
        </w:rPr>
        <w:t>s</w:t>
      </w:r>
      <w:r w:rsidR="006F36E2" w:rsidRPr="00127B36">
        <w:rPr>
          <w:rStyle w:val="st"/>
        </w:rPr>
        <w:t xml:space="preserve"> de biologie moléculaire</w:t>
      </w:r>
      <w:r w:rsidR="00B03C5F" w:rsidRPr="00127B36">
        <w:rPr>
          <w:rStyle w:val="st"/>
        </w:rPr>
        <w:t xml:space="preserve"> permettant </w:t>
      </w:r>
      <w:r w:rsidR="00B03C5F" w:rsidRPr="00127B36">
        <w:t xml:space="preserve">une </w:t>
      </w:r>
      <w:r w:rsidR="00B03C5F" w:rsidRPr="00127B36">
        <w:rPr>
          <w:bCs/>
        </w:rPr>
        <w:t>adaptation personnalisée de leur thérapie</w:t>
      </w:r>
      <w:r w:rsidR="00FD4FCF" w:rsidRPr="00127B36">
        <w:t>.</w:t>
      </w:r>
    </w:p>
    <w:p w14:paraId="4084A447" w14:textId="77777777" w:rsidR="000D0936" w:rsidRPr="00376353" w:rsidRDefault="000D0936" w:rsidP="00376353">
      <w:pPr>
        <w:spacing w:after="0"/>
        <w:ind w:right="260"/>
        <w:jc w:val="both"/>
        <w:rPr>
          <w:rStyle w:val="st"/>
          <w:sz w:val="10"/>
          <w:szCs w:val="10"/>
        </w:rPr>
      </w:pPr>
    </w:p>
    <w:p w14:paraId="3B9F0379" w14:textId="77777777" w:rsidR="00685310" w:rsidRPr="00E32111" w:rsidRDefault="00685310" w:rsidP="00B0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rPr>
          <w:b/>
        </w:rPr>
      </w:pPr>
      <w:r>
        <w:rPr>
          <w:b/>
        </w:rPr>
        <w:t>Objectif</w:t>
      </w:r>
      <w:r w:rsidR="003961AE">
        <w:rPr>
          <w:b/>
        </w:rPr>
        <w:t xml:space="preserve"> </w:t>
      </w:r>
      <w:r w:rsidR="00A603E3">
        <w:rPr>
          <w:b/>
        </w:rPr>
        <w:t>de la RCP</w:t>
      </w:r>
    </w:p>
    <w:p w14:paraId="5E54FDF7" w14:textId="77777777" w:rsidR="00AC336B" w:rsidRDefault="00AC336B" w:rsidP="00AC336B">
      <w:pPr>
        <w:spacing w:after="0"/>
        <w:jc w:val="both"/>
      </w:pPr>
      <w:r>
        <w:t xml:space="preserve">L’objectif de la RCP de biologie moléculaire, à travers la caractérisation moléculaire de la tumeur, est de </w:t>
      </w:r>
      <w:r w:rsidRPr="0021657E">
        <w:t xml:space="preserve">proposer </w:t>
      </w:r>
      <w:r>
        <w:t xml:space="preserve">au patient </w:t>
      </w:r>
      <w:r w:rsidRPr="0021657E">
        <w:t xml:space="preserve">une </w:t>
      </w:r>
      <w:r w:rsidRPr="0021657E">
        <w:rPr>
          <w:bCs/>
        </w:rPr>
        <w:t>prise en charge thérapeutique personnalisée</w:t>
      </w:r>
      <w:r>
        <w:t xml:space="preserve">, avec un traitement possédant un AMM </w:t>
      </w:r>
      <w:proofErr w:type="gramStart"/>
      <w:r>
        <w:t>ou,  éventuellement</w:t>
      </w:r>
      <w:proofErr w:type="gramEnd"/>
      <w:r>
        <w:t>, de l’orienter vers un essai thérapeutique innovant.</w:t>
      </w:r>
    </w:p>
    <w:p w14:paraId="7D9FD1BB" w14:textId="77777777" w:rsidR="00A603E3" w:rsidRDefault="00A603E3" w:rsidP="00B03C5F">
      <w:pPr>
        <w:spacing w:after="0"/>
        <w:jc w:val="both"/>
      </w:pPr>
      <w:r>
        <w:t>Il peut s’agir :</w:t>
      </w:r>
    </w:p>
    <w:p w14:paraId="773DED70" w14:textId="77777777" w:rsidR="00F2509E" w:rsidRDefault="00F2509E" w:rsidP="000D4A3F">
      <w:pPr>
        <w:pStyle w:val="Paragraphedeliste"/>
        <w:numPr>
          <w:ilvl w:val="0"/>
          <w:numId w:val="2"/>
        </w:numPr>
        <w:spacing w:after="0"/>
        <w:ind w:left="567" w:hanging="153"/>
        <w:jc w:val="both"/>
      </w:pPr>
      <w:r>
        <w:t>Soit d’une altération moléculaire connue avec recommandation thérapeutique</w:t>
      </w:r>
      <w:r w:rsidR="00F96287">
        <w:t xml:space="preserve"> standard</w:t>
      </w:r>
      <w:r>
        <w:t xml:space="preserve">, </w:t>
      </w:r>
    </w:p>
    <w:p w14:paraId="1DCAE14B" w14:textId="77777777" w:rsidR="00A603E3" w:rsidRDefault="0021657E" w:rsidP="000D4A3F">
      <w:pPr>
        <w:pStyle w:val="Paragraphedeliste"/>
        <w:numPr>
          <w:ilvl w:val="0"/>
          <w:numId w:val="2"/>
        </w:numPr>
        <w:spacing w:after="0"/>
        <w:ind w:left="567" w:hanging="153"/>
        <w:jc w:val="both"/>
      </w:pPr>
      <w:r>
        <w:t xml:space="preserve">Soit </w:t>
      </w:r>
      <w:r w:rsidR="00A603E3">
        <w:t>d’une altération moléculaire connue san</w:t>
      </w:r>
      <w:r>
        <w:t>s recommandation thérapeutique</w:t>
      </w:r>
      <w:r w:rsidR="00F96287">
        <w:t xml:space="preserve"> standard</w:t>
      </w:r>
      <w:r>
        <w:t xml:space="preserve">, </w:t>
      </w:r>
      <w:r w:rsidR="00F96287">
        <w:t xml:space="preserve">mais pouvant déboucher sur </w:t>
      </w:r>
      <w:r w:rsidR="00A603E3">
        <w:t>l’inclusion dans un essai thérapeutique</w:t>
      </w:r>
      <w:r w:rsidR="00F96287">
        <w:t xml:space="preserve"> à discuter,</w:t>
      </w:r>
    </w:p>
    <w:p w14:paraId="0B31BA9D" w14:textId="77777777" w:rsidR="00AC336B" w:rsidRDefault="00AC336B" w:rsidP="00AC336B">
      <w:pPr>
        <w:pStyle w:val="Paragraphedeliste"/>
        <w:numPr>
          <w:ilvl w:val="0"/>
          <w:numId w:val="2"/>
        </w:numPr>
        <w:spacing w:after="0"/>
        <w:ind w:left="567" w:hanging="153"/>
        <w:jc w:val="both"/>
      </w:pPr>
      <w:r>
        <w:t>Soit, en l’absence d’altération moléculaire connue, de l’évaluation du dossier pour réaliser un screening moléculaire haut débit à la recherche d’altérations moléculaires actionnables pouvant déboucher ensuite sur l’inclusion dans un essai thérapeutique.</w:t>
      </w:r>
    </w:p>
    <w:p w14:paraId="0DD0CDA3" w14:textId="77777777" w:rsidR="00152E9F" w:rsidRPr="00376353" w:rsidRDefault="00152E9F" w:rsidP="00B03C5F">
      <w:pPr>
        <w:spacing w:after="0"/>
        <w:jc w:val="both"/>
        <w:rPr>
          <w:sz w:val="10"/>
          <w:szCs w:val="10"/>
        </w:rPr>
      </w:pPr>
    </w:p>
    <w:p w14:paraId="1E6DAD53" w14:textId="77777777" w:rsidR="00651061" w:rsidRPr="00606D25" w:rsidRDefault="00C90019" w:rsidP="00B0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rPr>
          <w:b/>
        </w:rPr>
      </w:pPr>
      <w:r>
        <w:rPr>
          <w:b/>
        </w:rPr>
        <w:t xml:space="preserve">Organisation </w:t>
      </w:r>
      <w:r w:rsidR="004748AC" w:rsidRPr="00FA4AEB">
        <w:rPr>
          <w:b/>
        </w:rPr>
        <w:t>de la RCP</w:t>
      </w:r>
      <w:r w:rsidR="007A2611">
        <w:rPr>
          <w:b/>
        </w:rPr>
        <w:t xml:space="preserve"> </w:t>
      </w:r>
    </w:p>
    <w:p w14:paraId="709F0B16" w14:textId="77777777" w:rsidR="00E32111" w:rsidRDefault="00606D25" w:rsidP="00B03C5F">
      <w:pPr>
        <w:jc w:val="both"/>
      </w:pPr>
      <w:r w:rsidRPr="00AF518B">
        <w:rPr>
          <w:b/>
        </w:rPr>
        <w:t>Collaboration de</w:t>
      </w:r>
      <w:r w:rsidR="000B3D76">
        <w:rPr>
          <w:b/>
        </w:rPr>
        <w:t xml:space="preserve"> 3</w:t>
      </w:r>
      <w:r w:rsidRPr="00AF518B">
        <w:rPr>
          <w:b/>
        </w:rPr>
        <w:t xml:space="preserve"> départements</w:t>
      </w:r>
      <w:r>
        <w:t> :</w:t>
      </w:r>
      <w:r w:rsidR="009724FC">
        <w:t xml:space="preserve"> Oncologie médicale,</w:t>
      </w:r>
      <w:r w:rsidR="00F2509E">
        <w:t xml:space="preserve"> Département de biologie du cancer</w:t>
      </w:r>
      <w:r w:rsidR="00D80DEA">
        <w:t xml:space="preserve"> </w:t>
      </w:r>
      <w:r w:rsidR="004748AC">
        <w:t xml:space="preserve">et </w:t>
      </w:r>
      <w:r w:rsidR="00376353">
        <w:t xml:space="preserve">Département de </w:t>
      </w:r>
      <w:proofErr w:type="gramStart"/>
      <w:r w:rsidR="00376353">
        <w:t>la  Recherche</w:t>
      </w:r>
      <w:proofErr w:type="gramEnd"/>
      <w:r w:rsidR="00376353">
        <w:t xml:space="preserve"> Clinique et de l’Innovation</w:t>
      </w:r>
      <w:r w:rsidR="00FD27A0">
        <w:t xml:space="preserve"> (DRCI</w:t>
      </w:r>
      <w:r w:rsidR="001207A3">
        <w:t>)</w:t>
      </w:r>
      <w:r w:rsidR="009724FC">
        <w:t>.</w:t>
      </w:r>
    </w:p>
    <w:p w14:paraId="20794534" w14:textId="77777777" w:rsidR="002A34F8" w:rsidRPr="002A34F8" w:rsidRDefault="002A34F8" w:rsidP="00B03C5F">
      <w:pPr>
        <w:jc w:val="both"/>
        <w:rPr>
          <w:b/>
        </w:rPr>
      </w:pPr>
      <w:r w:rsidRPr="002A34F8">
        <w:rPr>
          <w:b/>
        </w:rPr>
        <w:t>Pathologies concernées</w:t>
      </w:r>
      <w:r>
        <w:rPr>
          <w:b/>
        </w:rPr>
        <w:t xml:space="preserve"> : </w:t>
      </w:r>
      <w:r w:rsidRPr="002A34F8">
        <w:t>Tumeurs solides avancées</w:t>
      </w:r>
      <w:r w:rsidR="00520589">
        <w:t xml:space="preserve"> </w:t>
      </w:r>
    </w:p>
    <w:p w14:paraId="67609941" w14:textId="77777777" w:rsidR="009724FC" w:rsidRDefault="004748AC" w:rsidP="00BF15E7">
      <w:pPr>
        <w:jc w:val="both"/>
      </w:pPr>
      <w:r w:rsidRPr="00AF518B">
        <w:rPr>
          <w:b/>
        </w:rPr>
        <w:t>Quorum de la RCP</w:t>
      </w:r>
      <w:r>
        <w:t xml:space="preserve"> assuré par la présence </w:t>
      </w:r>
      <w:r w:rsidR="00CA4B23">
        <w:t>d’</w:t>
      </w:r>
      <w:r w:rsidR="00C451EE">
        <w:t>un</w:t>
      </w:r>
      <w:r w:rsidR="00F2509E">
        <w:t xml:space="preserve"> </w:t>
      </w:r>
      <w:r>
        <w:t>oncologue médica</w:t>
      </w:r>
      <w:r w:rsidR="00C451EE">
        <w:t>l</w:t>
      </w:r>
      <w:r w:rsidR="002A34F8">
        <w:t xml:space="preserve">, </w:t>
      </w:r>
      <w:r w:rsidR="00F2509E">
        <w:t>d’</w:t>
      </w:r>
      <w:r w:rsidR="002A34F8">
        <w:t xml:space="preserve">un biologiste moléculaire </w:t>
      </w:r>
      <w:r w:rsidR="00AF518B">
        <w:t>et</w:t>
      </w:r>
      <w:r w:rsidR="00B85EBC">
        <w:t xml:space="preserve"> </w:t>
      </w:r>
      <w:r w:rsidR="00F2509E">
        <w:t>d’un</w:t>
      </w:r>
      <w:r w:rsidR="00AF518B">
        <w:t xml:space="preserve"> </w:t>
      </w:r>
      <w:proofErr w:type="spellStart"/>
      <w:r w:rsidR="00AF518B">
        <w:t>oncogénéticien</w:t>
      </w:r>
      <w:proofErr w:type="spellEnd"/>
      <w:r w:rsidR="002A34F8">
        <w:t xml:space="preserve"> +/- autres spécialistes e</w:t>
      </w:r>
      <w:r w:rsidR="00B85EBC">
        <w:t>n fonction des cas présentés</w:t>
      </w:r>
      <w:r w:rsidR="00520589">
        <w:t xml:space="preserve"> </w:t>
      </w:r>
      <w:r w:rsidR="002A34F8">
        <w:t>(</w:t>
      </w:r>
      <w:r w:rsidR="00B85EBC">
        <w:t>radiolog</w:t>
      </w:r>
      <w:r w:rsidR="001207A3">
        <w:t>ue</w:t>
      </w:r>
      <w:r w:rsidR="00B85EBC">
        <w:t xml:space="preserve"> interventionnel, </w:t>
      </w:r>
      <w:r w:rsidR="002A34F8">
        <w:t xml:space="preserve">gastro-entérologue interventionnel, </w:t>
      </w:r>
      <w:r w:rsidR="00B85EBC">
        <w:t>chirurgien</w:t>
      </w:r>
      <w:r w:rsidR="002A34F8">
        <w:t xml:space="preserve">, </w:t>
      </w:r>
      <w:proofErr w:type="gramStart"/>
      <w:r w:rsidR="00520589">
        <w:t>anatomopathologiste</w:t>
      </w:r>
      <w:r w:rsidR="001207A3">
        <w:t>,</w:t>
      </w:r>
      <w:r w:rsidR="00520589">
        <w:t>…</w:t>
      </w:r>
      <w:proofErr w:type="gramEnd"/>
      <w:r w:rsidR="002A34F8">
        <w:t>)</w:t>
      </w:r>
      <w:r w:rsidR="00AF518B">
        <w:t xml:space="preserve">. </w:t>
      </w:r>
    </w:p>
    <w:p w14:paraId="7FE449BF" w14:textId="77777777" w:rsidR="00FA4AEB" w:rsidRDefault="00AF518B" w:rsidP="00BF15E7">
      <w:pPr>
        <w:jc w:val="both"/>
      </w:pPr>
      <w:r>
        <w:t xml:space="preserve">Le médecin </w:t>
      </w:r>
      <w:r w:rsidR="00152E9F">
        <w:t xml:space="preserve">demandeur, </w:t>
      </w:r>
      <w:r>
        <w:t>ayant inscrit le patient en RCP</w:t>
      </w:r>
      <w:r w:rsidR="00B03C5F">
        <w:t>,</w:t>
      </w:r>
      <w:r>
        <w:t xml:space="preserve"> </w:t>
      </w:r>
      <w:r w:rsidR="009D0391">
        <w:t>peut,</w:t>
      </w:r>
      <w:r>
        <w:t xml:space="preserve"> s’il le souhaite</w:t>
      </w:r>
      <w:r w:rsidR="009D0391">
        <w:t>,</w:t>
      </w:r>
      <w:r>
        <w:t xml:space="preserve"> participer à la RCP</w:t>
      </w:r>
      <w:r w:rsidR="008F6D36">
        <w:t xml:space="preserve"> (webconférence </w:t>
      </w:r>
      <w:r w:rsidR="00FA4AEB">
        <w:t>à l’étude).</w:t>
      </w:r>
    </w:p>
    <w:p w14:paraId="73EE1D3E" w14:textId="77777777" w:rsidR="000C4167" w:rsidRPr="00B84061" w:rsidRDefault="000C4167" w:rsidP="00BF15E7">
      <w:pPr>
        <w:tabs>
          <w:tab w:val="left" w:pos="1701"/>
        </w:tabs>
        <w:spacing w:after="0"/>
        <w:jc w:val="both"/>
      </w:pPr>
      <w:proofErr w:type="gramStart"/>
      <w:r w:rsidRPr="000C4167">
        <w:rPr>
          <w:b/>
        </w:rPr>
        <w:t>Coordonnateurs</w:t>
      </w:r>
      <w:r>
        <w:t>:</w:t>
      </w:r>
      <w:proofErr w:type="gramEnd"/>
      <w:r w:rsidR="00BF15E7">
        <w:tab/>
      </w:r>
      <w:r w:rsidRPr="00B84061">
        <w:t>Pr François BERTUCCI, Pr Anthony GONCALVES</w:t>
      </w:r>
      <w:r w:rsidR="00190CA0" w:rsidRPr="00B84061">
        <w:t>, Dr Renaud SABATIER, Dr Cécile VICIER</w:t>
      </w:r>
    </w:p>
    <w:p w14:paraId="10E4D348" w14:textId="77777777" w:rsidR="00127B36" w:rsidRPr="00B84061" w:rsidRDefault="00AF518B" w:rsidP="00BF15E7">
      <w:pPr>
        <w:tabs>
          <w:tab w:val="left" w:pos="1701"/>
        </w:tabs>
        <w:spacing w:after="0"/>
        <w:jc w:val="both"/>
      </w:pPr>
      <w:r w:rsidRPr="00B84061">
        <w:rPr>
          <w:b/>
        </w:rPr>
        <w:t>Fréquence</w:t>
      </w:r>
      <w:r w:rsidRPr="00B84061">
        <w:t> :</w:t>
      </w:r>
      <w:r w:rsidR="00BF15E7" w:rsidRPr="00B84061">
        <w:tab/>
      </w:r>
      <w:r w:rsidRPr="00B84061">
        <w:t xml:space="preserve">hebdomadaire </w:t>
      </w:r>
      <w:r w:rsidR="00BF15E7" w:rsidRPr="00B84061">
        <w:tab/>
      </w:r>
    </w:p>
    <w:p w14:paraId="358A1918" w14:textId="77777777" w:rsidR="00152E9F" w:rsidRPr="00B84061" w:rsidRDefault="00152E9F" w:rsidP="00BF15E7">
      <w:pPr>
        <w:tabs>
          <w:tab w:val="left" w:pos="1701"/>
        </w:tabs>
        <w:spacing w:after="0"/>
        <w:jc w:val="both"/>
      </w:pPr>
      <w:r w:rsidRPr="00B84061">
        <w:rPr>
          <w:b/>
        </w:rPr>
        <w:t>Jour / Heure </w:t>
      </w:r>
      <w:r w:rsidR="00127B36" w:rsidRPr="00B84061">
        <w:rPr>
          <w:b/>
        </w:rPr>
        <w:tab/>
      </w:r>
      <w:r w:rsidR="00190CA0" w:rsidRPr="00B84061">
        <w:t xml:space="preserve">le mardi à </w:t>
      </w:r>
      <w:r w:rsidR="00FD27A0">
        <w:t>9h 30</w:t>
      </w:r>
      <w:r w:rsidR="00207CC5">
        <w:t xml:space="preserve"> </w:t>
      </w:r>
      <w:r w:rsidR="00207CC5" w:rsidRPr="00B84061">
        <w:rPr>
          <w:strike/>
        </w:rPr>
        <w:t xml:space="preserve"> </w:t>
      </w:r>
    </w:p>
    <w:p w14:paraId="0DF18071" w14:textId="77777777" w:rsidR="00BF15E7" w:rsidRPr="00B84061" w:rsidRDefault="00FA4AEB" w:rsidP="00BF15E7">
      <w:pPr>
        <w:tabs>
          <w:tab w:val="left" w:pos="1701"/>
        </w:tabs>
        <w:spacing w:after="0"/>
        <w:jc w:val="both"/>
      </w:pPr>
      <w:r w:rsidRPr="00B84061">
        <w:rPr>
          <w:b/>
        </w:rPr>
        <w:t>Lieu</w:t>
      </w:r>
      <w:r w:rsidRPr="00B84061">
        <w:t> :</w:t>
      </w:r>
      <w:r w:rsidR="00BF15E7" w:rsidRPr="00B84061">
        <w:tab/>
      </w:r>
      <w:r w:rsidR="008F6D36" w:rsidRPr="00B84061">
        <w:t>Institut Paoli-</w:t>
      </w:r>
      <w:proofErr w:type="spellStart"/>
      <w:r w:rsidR="008F6D36" w:rsidRPr="00B84061">
        <w:t>Calmettes</w:t>
      </w:r>
      <w:proofErr w:type="spellEnd"/>
      <w:r w:rsidR="008F6D36" w:rsidRPr="00B84061">
        <w:t xml:space="preserve">, </w:t>
      </w:r>
    </w:p>
    <w:p w14:paraId="04D936E9" w14:textId="77777777" w:rsidR="00152E9F" w:rsidRPr="00B84061" w:rsidRDefault="00BF15E7" w:rsidP="00BF15E7">
      <w:pPr>
        <w:tabs>
          <w:tab w:val="left" w:pos="1701"/>
        </w:tabs>
        <w:spacing w:after="0"/>
        <w:jc w:val="both"/>
      </w:pPr>
      <w:r w:rsidRPr="00B84061">
        <w:tab/>
      </w:r>
      <w:r w:rsidR="00FA4AEB" w:rsidRPr="00B84061">
        <w:t xml:space="preserve">Bâtiment </w:t>
      </w:r>
      <w:r w:rsidR="008F6D36" w:rsidRPr="00B84061">
        <w:t xml:space="preserve">principal </w:t>
      </w:r>
      <w:r w:rsidR="00FA4AEB" w:rsidRPr="00B84061">
        <w:t>IPC1, Salle</w:t>
      </w:r>
      <w:r w:rsidR="009D0391" w:rsidRPr="00B84061">
        <w:t xml:space="preserve"> d’</w:t>
      </w:r>
      <w:r w:rsidR="00FA4AEB" w:rsidRPr="00B84061">
        <w:t>Oncologie médicale, 1</w:t>
      </w:r>
      <w:r w:rsidR="00FA4AEB" w:rsidRPr="00B84061">
        <w:rPr>
          <w:vertAlign w:val="superscript"/>
        </w:rPr>
        <w:t>er</w:t>
      </w:r>
      <w:r w:rsidR="00152E9F" w:rsidRPr="00B84061">
        <w:t xml:space="preserve"> étage</w:t>
      </w:r>
    </w:p>
    <w:p w14:paraId="1C1C438A" w14:textId="77777777" w:rsidR="000C4167" w:rsidRPr="00B84061" w:rsidRDefault="00FA4AEB" w:rsidP="00526C53">
      <w:pPr>
        <w:tabs>
          <w:tab w:val="left" w:pos="1701"/>
        </w:tabs>
        <w:spacing w:after="0"/>
        <w:ind w:left="1695" w:hanging="1695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B84061">
        <w:rPr>
          <w:b/>
        </w:rPr>
        <w:t>Secrétariat :</w:t>
      </w:r>
      <w:r w:rsidR="00BF15E7" w:rsidRPr="00B84061">
        <w:rPr>
          <w:b/>
        </w:rPr>
        <w:tab/>
      </w:r>
      <w:r w:rsidR="00526C53" w:rsidRPr="00B84061">
        <w:rPr>
          <w:b/>
        </w:rPr>
        <w:tab/>
      </w:r>
      <w:r w:rsidR="00D02D0F" w:rsidRPr="00B84061">
        <w:t>Sandrine SANTIAGO</w:t>
      </w:r>
      <w:r w:rsidR="00526C53" w:rsidRPr="00B84061">
        <w:t xml:space="preserve"> </w:t>
      </w:r>
      <w:r w:rsidR="009D0391" w:rsidRPr="00B84061">
        <w:t>secrétariat</w:t>
      </w:r>
      <w:r w:rsidR="00526C53" w:rsidRPr="00B84061">
        <w:t xml:space="preserve"> </w:t>
      </w:r>
      <w:r w:rsidR="00D02D0F" w:rsidRPr="00B84061">
        <w:t>de l’</w:t>
      </w:r>
      <w:proofErr w:type="spellStart"/>
      <w:r w:rsidR="00D02D0F" w:rsidRPr="00B84061">
        <w:t>Oncomed</w:t>
      </w:r>
      <w:proofErr w:type="spellEnd"/>
      <w:r w:rsidR="00D02D0F" w:rsidRPr="00B84061">
        <w:t xml:space="preserve"> 4</w:t>
      </w:r>
    </w:p>
    <w:p w14:paraId="0357D622" w14:textId="77777777" w:rsidR="008F6D36" w:rsidRPr="00B84061" w:rsidRDefault="00127B36" w:rsidP="00127B36">
      <w:pPr>
        <w:spacing w:after="0"/>
        <w:ind w:left="1701"/>
        <w:jc w:val="both"/>
        <w:rPr>
          <w:i/>
        </w:rPr>
      </w:pPr>
      <w:r w:rsidRPr="00B84061">
        <w:rPr>
          <w:b/>
        </w:rPr>
        <w:t>E</w:t>
      </w:r>
      <w:r w:rsidR="000C4167" w:rsidRPr="00B84061">
        <w:rPr>
          <w:b/>
        </w:rPr>
        <w:t>-mail</w:t>
      </w:r>
      <w:r w:rsidR="000C4167" w:rsidRPr="00B84061">
        <w:t xml:space="preserve"> </w:t>
      </w:r>
      <w:r w:rsidR="0083079F" w:rsidRPr="00B84061">
        <w:t xml:space="preserve"> </w:t>
      </w:r>
      <w:hyperlink r:id="rId8" w:history="1">
        <w:r w:rsidR="00C90EB1" w:rsidRPr="00B84061">
          <w:rPr>
            <w:rStyle w:val="Lienhypertexte"/>
            <w:color w:val="auto"/>
          </w:rPr>
          <w:t>rcpbiomol@ipc-unicancer.mssante.fr</w:t>
        </w:r>
      </w:hyperlink>
      <w:r w:rsidR="0083079F" w:rsidRPr="00B84061">
        <w:t xml:space="preserve"> </w:t>
      </w:r>
      <w:r w:rsidR="0083079F" w:rsidRPr="00B84061">
        <w:rPr>
          <w:i/>
        </w:rPr>
        <w:t>(</w:t>
      </w:r>
      <w:r w:rsidR="008737DC" w:rsidRPr="00B84061">
        <w:rPr>
          <w:i/>
        </w:rPr>
        <w:t xml:space="preserve">Pour utiliser cette adresse </w:t>
      </w:r>
      <w:proofErr w:type="gramStart"/>
      <w:r w:rsidR="008737DC" w:rsidRPr="00B84061">
        <w:rPr>
          <w:i/>
        </w:rPr>
        <w:t>mail</w:t>
      </w:r>
      <w:proofErr w:type="gramEnd"/>
      <w:r w:rsidR="008737DC" w:rsidRPr="00B84061">
        <w:rPr>
          <w:i/>
        </w:rPr>
        <w:t xml:space="preserve">, l’expéditeur doit disposer d’une messagerie </w:t>
      </w:r>
      <w:proofErr w:type="spellStart"/>
      <w:r w:rsidR="008737DC" w:rsidRPr="00B84061">
        <w:rPr>
          <w:i/>
        </w:rPr>
        <w:t>mssanté</w:t>
      </w:r>
      <w:proofErr w:type="spellEnd"/>
      <w:r w:rsidR="0083079F" w:rsidRPr="00B84061">
        <w:rPr>
          <w:i/>
        </w:rPr>
        <w:t>)</w:t>
      </w:r>
    </w:p>
    <w:p w14:paraId="5BBE9763" w14:textId="77777777" w:rsidR="0083079F" w:rsidRPr="00B84061" w:rsidRDefault="000C4167" w:rsidP="00C67A3B">
      <w:pPr>
        <w:spacing w:after="0"/>
        <w:ind w:left="993" w:firstLine="708"/>
        <w:jc w:val="both"/>
        <w:rPr>
          <w:rFonts w:ascii="Tahoma" w:hAnsi="Tahoma" w:cs="Tahoma"/>
          <w:sz w:val="20"/>
          <w:szCs w:val="20"/>
        </w:rPr>
      </w:pPr>
      <w:r w:rsidRPr="00B84061">
        <w:rPr>
          <w:b/>
        </w:rPr>
        <w:t>Téléphone</w:t>
      </w:r>
      <w:r w:rsidR="0083079F" w:rsidRPr="00B84061">
        <w:t xml:space="preserve"> </w:t>
      </w:r>
      <w:r w:rsidR="003B173A" w:rsidRPr="00D721A6">
        <w:rPr>
          <w:rFonts w:ascii="Tahoma" w:hAnsi="Tahoma" w:cs="Tahoma"/>
          <w:sz w:val="20"/>
          <w:szCs w:val="20"/>
        </w:rPr>
        <w:t>04.91.22.38.94</w:t>
      </w:r>
      <w:r w:rsidR="003B173A">
        <w:rPr>
          <w:rFonts w:ascii="Tahoma" w:hAnsi="Tahoma" w:cs="Tahoma"/>
          <w:color w:val="FF0000"/>
          <w:sz w:val="20"/>
          <w:szCs w:val="20"/>
        </w:rPr>
        <w:t> </w:t>
      </w:r>
      <w:proofErr w:type="gramStart"/>
      <w:r w:rsidR="00F2509E" w:rsidRPr="00B84061">
        <w:rPr>
          <w:b/>
        </w:rPr>
        <w:t>Fax</w:t>
      </w:r>
      <w:r w:rsidR="0083079F" w:rsidRPr="00B84061">
        <w:rPr>
          <w:b/>
        </w:rPr>
        <w:t xml:space="preserve"> </w:t>
      </w:r>
      <w:r w:rsidR="0083079F" w:rsidRPr="00B84061">
        <w:t xml:space="preserve"> </w:t>
      </w:r>
      <w:r w:rsidR="00F21F23" w:rsidRPr="00B84061">
        <w:rPr>
          <w:rFonts w:ascii="Tahoma" w:hAnsi="Tahoma" w:cs="Tahoma"/>
          <w:sz w:val="20"/>
          <w:szCs w:val="20"/>
        </w:rPr>
        <w:t>04.91.22.31.26</w:t>
      </w:r>
      <w:proofErr w:type="gramEnd"/>
      <w:r w:rsidR="00F21F23" w:rsidRPr="00B84061">
        <w:rPr>
          <w:rFonts w:ascii="Tahoma" w:hAnsi="Tahoma" w:cs="Tahoma"/>
          <w:sz w:val="20"/>
          <w:szCs w:val="20"/>
        </w:rPr>
        <w:t> </w:t>
      </w:r>
    </w:p>
    <w:p w14:paraId="39C2A448" w14:textId="77777777" w:rsidR="00A125AF" w:rsidRDefault="00C90019" w:rsidP="00B03C5F">
      <w:pPr>
        <w:jc w:val="both"/>
        <w:rPr>
          <w:rFonts w:ascii="Tahoma" w:eastAsia="Times New Roman" w:hAnsi="Tahoma" w:cs="Tahoma"/>
          <w:color w:val="333333"/>
          <w:sz w:val="16"/>
          <w:szCs w:val="16"/>
          <w:lang w:eastAsia="fr-FR"/>
        </w:rPr>
      </w:pPr>
      <w:r w:rsidRPr="00C90019">
        <w:rPr>
          <w:b/>
        </w:rPr>
        <w:lastRenderedPageBreak/>
        <w:t>Logistique de fonctionnement</w:t>
      </w:r>
      <w:r w:rsidRPr="00C90019">
        <w:rPr>
          <w:rFonts w:ascii="Tahoma" w:eastAsia="Times New Roman" w:hAnsi="Tahoma" w:cs="Tahoma"/>
          <w:color w:val="333333"/>
          <w:sz w:val="16"/>
          <w:szCs w:val="16"/>
          <w:lang w:eastAsia="fr-FR"/>
        </w:rPr>
        <w:t xml:space="preserve"> </w:t>
      </w:r>
    </w:p>
    <w:p w14:paraId="7B252689" w14:textId="77777777" w:rsidR="00B115AC" w:rsidRPr="00815DF9" w:rsidRDefault="00B115AC" w:rsidP="00815DF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815DF9">
        <w:rPr>
          <w:b/>
        </w:rPr>
        <w:t>Biologie moléculaire standard</w:t>
      </w:r>
      <w:r w:rsidR="000D0936" w:rsidRPr="00815DF9">
        <w:rPr>
          <w:b/>
        </w:rPr>
        <w:t xml:space="preserve"> </w:t>
      </w:r>
    </w:p>
    <w:p w14:paraId="5B444171" w14:textId="77777777" w:rsidR="00815DF9" w:rsidRPr="00376353" w:rsidRDefault="00815DF9" w:rsidP="00815DF9">
      <w:pPr>
        <w:pStyle w:val="Paragraphedeliste"/>
        <w:spacing w:after="0" w:line="240" w:lineRule="auto"/>
        <w:jc w:val="both"/>
        <w:rPr>
          <w:b/>
        </w:rPr>
      </w:pPr>
    </w:p>
    <w:p w14:paraId="648F66A3" w14:textId="77777777" w:rsidR="00B115AC" w:rsidRPr="00376353" w:rsidRDefault="00751AED" w:rsidP="00B03C5F">
      <w:pPr>
        <w:spacing w:after="0" w:line="240" w:lineRule="auto"/>
        <w:jc w:val="both"/>
      </w:pPr>
      <w:r w:rsidRPr="00376353">
        <w:t>Les indications</w:t>
      </w:r>
      <w:r w:rsidR="000D0936" w:rsidRPr="00376353">
        <w:t xml:space="preserve"> concern</w:t>
      </w:r>
      <w:r w:rsidR="00561049" w:rsidRPr="00376353">
        <w:t>a</w:t>
      </w:r>
      <w:r w:rsidR="000D0936" w:rsidRPr="00376353">
        <w:t>nt des</w:t>
      </w:r>
      <w:r w:rsidR="00C611B9" w:rsidRPr="00376353">
        <w:t xml:space="preserve"> a</w:t>
      </w:r>
      <w:r w:rsidR="00B115AC" w:rsidRPr="00376353">
        <w:t>nalyses moléculaires dans le cadre des recommandations</w:t>
      </w:r>
      <w:r w:rsidR="00561049" w:rsidRPr="00376353">
        <w:t xml:space="preserve"> sont discutées en RCP d’organe</w:t>
      </w:r>
      <w:r w:rsidR="00CA4B23" w:rsidRPr="00376353">
        <w:t>.</w:t>
      </w:r>
    </w:p>
    <w:p w14:paraId="6C616C34" w14:textId="77777777" w:rsidR="0056214C" w:rsidRPr="00376353" w:rsidRDefault="0056214C" w:rsidP="00B03C5F">
      <w:pPr>
        <w:spacing w:after="0" w:line="240" w:lineRule="auto"/>
        <w:jc w:val="both"/>
      </w:pPr>
    </w:p>
    <w:p w14:paraId="708103CB" w14:textId="77777777" w:rsidR="009B019A" w:rsidRPr="00376353" w:rsidRDefault="009B019A" w:rsidP="009B019A">
      <w:pPr>
        <w:spacing w:after="0" w:line="240" w:lineRule="auto"/>
        <w:jc w:val="both"/>
      </w:pPr>
      <w:r w:rsidRPr="00376353">
        <w:sym w:font="Wingdings" w:char="F077"/>
      </w:r>
      <w:r w:rsidRPr="00376353">
        <w:t xml:space="preserve"> Organisation pratique </w:t>
      </w:r>
    </w:p>
    <w:p w14:paraId="207B7B28" w14:textId="77777777" w:rsidR="009B019A" w:rsidRPr="00376353" w:rsidRDefault="00FB062C" w:rsidP="00FB062C">
      <w:pPr>
        <w:spacing w:after="120" w:line="240" w:lineRule="auto"/>
        <w:jc w:val="both"/>
      </w:pPr>
      <w:r w:rsidRPr="00376353">
        <w:t xml:space="preserve">Dans </w:t>
      </w:r>
      <w:r w:rsidR="00561049" w:rsidRPr="00376353">
        <w:t>ces</w:t>
      </w:r>
      <w:r w:rsidRPr="00376353">
        <w:t xml:space="preserve"> RCP d’organe</w:t>
      </w:r>
      <w:r w:rsidR="007D55F1" w:rsidRPr="00376353">
        <w:t>,</w:t>
      </w:r>
      <w:r w:rsidRPr="00376353">
        <w:t xml:space="preserve"> la participation d’un pathologiste et d’un biologiste moléculaire est recommandée. Durant ces réunions sont vérifiées la conformité de la prescription et sont </w:t>
      </w:r>
      <w:r w:rsidR="001207A3" w:rsidRPr="00376353">
        <w:t xml:space="preserve">éventuellement </w:t>
      </w:r>
      <w:r w:rsidRPr="00376353">
        <w:t xml:space="preserve">posées les indications </w:t>
      </w:r>
      <w:r w:rsidR="007D55F1" w:rsidRPr="00376353">
        <w:t>de biologie moléculaire standard</w:t>
      </w:r>
      <w:r w:rsidR="007D55F1" w:rsidRPr="00376353">
        <w:rPr>
          <w:b/>
        </w:rPr>
        <w:t xml:space="preserve"> </w:t>
      </w:r>
      <w:r w:rsidRPr="00376353">
        <w:t>en fonction du contexte.</w:t>
      </w:r>
    </w:p>
    <w:p w14:paraId="3C308379" w14:textId="77777777" w:rsidR="00FB062C" w:rsidRPr="00376353" w:rsidRDefault="00430968" w:rsidP="00FB062C">
      <w:pPr>
        <w:spacing w:after="120" w:line="240" w:lineRule="auto"/>
        <w:jc w:val="both"/>
      </w:pPr>
      <w:r w:rsidRPr="00376353">
        <w:t>D</w:t>
      </w:r>
      <w:r w:rsidR="00FB062C" w:rsidRPr="00376353">
        <w:t>es dossiers de patients d’établissements extérieurs</w:t>
      </w:r>
      <w:r w:rsidR="00561049" w:rsidRPr="00376353">
        <w:t xml:space="preserve"> peuvent </w:t>
      </w:r>
      <w:r w:rsidRPr="00376353">
        <w:t>être présentés</w:t>
      </w:r>
      <w:r w:rsidR="00FB062C" w:rsidRPr="00376353">
        <w:t>.</w:t>
      </w:r>
    </w:p>
    <w:p w14:paraId="2C309FE9" w14:textId="77777777" w:rsidR="00FB062C" w:rsidRPr="00376353" w:rsidRDefault="00FB062C" w:rsidP="00FB062C">
      <w:pPr>
        <w:spacing w:after="120" w:line="240" w:lineRule="auto"/>
        <w:jc w:val="both"/>
      </w:pPr>
      <w:r w:rsidRPr="00376353">
        <w:t>En fonction du résultat du traitement et de l’évolution de la maladie</w:t>
      </w:r>
      <w:r w:rsidR="007D55F1" w:rsidRPr="00376353">
        <w:t>,</w:t>
      </w:r>
      <w:r w:rsidRPr="00376353">
        <w:t xml:space="preserve"> les dossiers peuvent être présentés </w:t>
      </w:r>
      <w:r w:rsidR="00C611B9" w:rsidRPr="00376353">
        <w:t xml:space="preserve">secondairement </w:t>
      </w:r>
      <w:r w:rsidRPr="00376353">
        <w:t xml:space="preserve">en </w:t>
      </w:r>
      <w:r w:rsidR="00113B78" w:rsidRPr="00376353">
        <w:t>réunion pluridisciplinaire transversale de Biologie Moléculaire</w:t>
      </w:r>
      <w:r w:rsidR="001207A3" w:rsidRPr="00376353">
        <w:t xml:space="preserve"> de recours</w:t>
      </w:r>
      <w:r w:rsidRPr="00376353">
        <w:t xml:space="preserve">. </w:t>
      </w:r>
    </w:p>
    <w:p w14:paraId="60737726" w14:textId="77777777" w:rsidR="00207CC5" w:rsidRPr="00376353" w:rsidRDefault="009B276E" w:rsidP="00207CC5">
      <w:pPr>
        <w:spacing w:after="120" w:line="240" w:lineRule="auto"/>
        <w:jc w:val="both"/>
      </w:pPr>
      <w:r w:rsidRPr="00376353">
        <w:t xml:space="preserve">La secrétaire de la RCP d’organe enregistre les dossiers durant lesquels un point sur la biologie moléculaire a été </w:t>
      </w:r>
      <w:r w:rsidR="006628E8" w:rsidRPr="00376353">
        <w:t xml:space="preserve">fait et/ou une prescription a été réalisée.  </w:t>
      </w:r>
    </w:p>
    <w:p w14:paraId="48AECDE9" w14:textId="77777777" w:rsidR="0056214C" w:rsidRPr="00376353" w:rsidRDefault="00C611B9" w:rsidP="00B03C5F">
      <w:pPr>
        <w:spacing w:after="0" w:line="240" w:lineRule="auto"/>
        <w:jc w:val="both"/>
      </w:pPr>
      <w:r w:rsidRPr="00376353">
        <w:t>Cf. A</w:t>
      </w:r>
      <w:r w:rsidR="000D0936" w:rsidRPr="00376353">
        <w:t xml:space="preserve">nnuaire </w:t>
      </w:r>
      <w:proofErr w:type="spellStart"/>
      <w:r w:rsidR="000D0936" w:rsidRPr="00376353">
        <w:t>oncoRCP</w:t>
      </w:r>
      <w:proofErr w:type="spellEnd"/>
      <w:r w:rsidR="000D0936" w:rsidRPr="00376353">
        <w:t xml:space="preserve"> des RCP d’organe IPC (fréquence, jour, coordonnées secrétariat)</w:t>
      </w:r>
    </w:p>
    <w:p w14:paraId="751E4D11" w14:textId="77777777" w:rsidR="000D0936" w:rsidRDefault="000D0936" w:rsidP="00B03C5F">
      <w:pPr>
        <w:spacing w:after="0" w:line="240" w:lineRule="auto"/>
        <w:jc w:val="both"/>
      </w:pPr>
    </w:p>
    <w:p w14:paraId="267F74D2" w14:textId="77777777" w:rsidR="00746277" w:rsidRDefault="00746277" w:rsidP="00746277">
      <w:pPr>
        <w:spacing w:after="0" w:line="240" w:lineRule="auto"/>
        <w:jc w:val="both"/>
      </w:pPr>
      <w:r>
        <w:t xml:space="preserve">Documents disponibles dans l’espace extranet </w:t>
      </w:r>
    </w:p>
    <w:p w14:paraId="02B168A5" w14:textId="77777777" w:rsidR="00746277" w:rsidRDefault="00746277" w:rsidP="00746277">
      <w:pPr>
        <w:pStyle w:val="Paragraphedeliste"/>
        <w:numPr>
          <w:ilvl w:val="1"/>
          <w:numId w:val="6"/>
        </w:numPr>
        <w:spacing w:after="0" w:line="240" w:lineRule="auto"/>
        <w:ind w:left="426"/>
        <w:jc w:val="both"/>
      </w:pPr>
      <w:r>
        <w:t>Fiche</w:t>
      </w:r>
      <w:r w:rsidR="00221D8A">
        <w:t>s</w:t>
      </w:r>
      <w:r>
        <w:t xml:space="preserve"> de prescription des analyses moléculaires </w:t>
      </w:r>
    </w:p>
    <w:p w14:paraId="6B0838F0" w14:textId="77777777" w:rsidR="00221D8A" w:rsidRPr="00C611B9" w:rsidRDefault="00D90904" w:rsidP="00221D8A">
      <w:pPr>
        <w:pStyle w:val="Paragraphedeliste"/>
        <w:numPr>
          <w:ilvl w:val="0"/>
          <w:numId w:val="6"/>
        </w:numPr>
        <w:spacing w:after="0" w:line="240" w:lineRule="auto"/>
        <w:jc w:val="both"/>
      </w:pPr>
      <w:hyperlink r:id="rId9" w:history="1">
        <w:r w:rsidR="00221D8A" w:rsidRPr="00221D8A">
          <w:rPr>
            <w:rStyle w:val="Lienhypertexte"/>
          </w:rPr>
          <w:t>Prescription d’examens des caractéristiques génétiques des personnes</w:t>
        </w:r>
      </w:hyperlink>
    </w:p>
    <w:p w14:paraId="357D3578" w14:textId="77777777" w:rsidR="00221D8A" w:rsidRPr="00221D8A" w:rsidRDefault="00D90904" w:rsidP="00221D8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Style w:val="Lienhypertexte"/>
        </w:rPr>
      </w:pPr>
      <w:hyperlink r:id="rId10" w:history="1">
        <w:r w:rsidR="00221D8A" w:rsidRPr="00221D8A">
          <w:rPr>
            <w:rStyle w:val="Lienhypertexte"/>
          </w:rPr>
          <w:t xml:space="preserve">Prescription d’examens de génétique somatique </w:t>
        </w:r>
        <w:proofErr w:type="spellStart"/>
        <w:r w:rsidR="00221D8A" w:rsidRPr="00221D8A">
          <w:rPr>
            <w:rStyle w:val="Lienhypertexte"/>
          </w:rPr>
          <w:t>théranostique</w:t>
        </w:r>
        <w:proofErr w:type="spellEnd"/>
      </w:hyperlink>
    </w:p>
    <w:p w14:paraId="1F7904C1" w14:textId="77777777" w:rsidR="00221D8A" w:rsidRPr="00221D8A" w:rsidRDefault="00221D8A" w:rsidP="00221D8A">
      <w:pPr>
        <w:pStyle w:val="Paragraphedeliste"/>
        <w:spacing w:after="0" w:line="240" w:lineRule="auto"/>
        <w:ind w:left="426"/>
        <w:jc w:val="both"/>
      </w:pPr>
    </w:p>
    <w:p w14:paraId="00B81085" w14:textId="77777777" w:rsidR="00746277" w:rsidRDefault="00D90904" w:rsidP="00746277">
      <w:pPr>
        <w:pStyle w:val="Paragraphedeliste"/>
        <w:numPr>
          <w:ilvl w:val="1"/>
          <w:numId w:val="6"/>
        </w:numPr>
        <w:spacing w:after="0" w:line="240" w:lineRule="auto"/>
        <w:ind w:left="426"/>
        <w:jc w:val="both"/>
      </w:pPr>
      <w:hyperlink r:id="rId11" w:history="1">
        <w:r w:rsidR="00746277" w:rsidRPr="00221D8A">
          <w:rPr>
            <w:rStyle w:val="Lienhypertexte"/>
          </w:rPr>
          <w:t>Note d’information sur l’analyse génétique tumorale</w:t>
        </w:r>
      </w:hyperlink>
    </w:p>
    <w:p w14:paraId="305E7ED5" w14:textId="77777777" w:rsidR="00746277" w:rsidRDefault="00746277" w:rsidP="00746277">
      <w:pPr>
        <w:spacing w:after="0" w:line="240" w:lineRule="auto"/>
        <w:jc w:val="both"/>
      </w:pPr>
    </w:p>
    <w:p w14:paraId="343473EB" w14:textId="77777777" w:rsidR="00746277" w:rsidRDefault="00D90904" w:rsidP="00746277">
      <w:pPr>
        <w:pStyle w:val="Paragraphedeliste"/>
        <w:numPr>
          <w:ilvl w:val="1"/>
          <w:numId w:val="6"/>
        </w:numPr>
        <w:spacing w:after="0" w:line="240" w:lineRule="auto"/>
        <w:ind w:left="426"/>
        <w:jc w:val="both"/>
      </w:pPr>
      <w:hyperlink r:id="rId12" w:history="1">
        <w:r w:rsidR="00746277" w:rsidRPr="00221D8A">
          <w:rPr>
            <w:rStyle w:val="Lienhypertexte"/>
          </w:rPr>
          <w:t>Manuel de prélèvements et référentiel des analyses de biologie du cancer</w:t>
        </w:r>
      </w:hyperlink>
    </w:p>
    <w:p w14:paraId="5B4FC8BC" w14:textId="77777777" w:rsidR="00B115AC" w:rsidRDefault="00B115AC" w:rsidP="00B03C5F">
      <w:pPr>
        <w:spacing w:after="0" w:line="240" w:lineRule="auto"/>
        <w:jc w:val="both"/>
      </w:pPr>
    </w:p>
    <w:p w14:paraId="1ED4CBFF" w14:textId="77777777" w:rsidR="00221D8A" w:rsidRDefault="00221D8A" w:rsidP="00B03C5F">
      <w:pPr>
        <w:spacing w:after="0" w:line="240" w:lineRule="auto"/>
        <w:jc w:val="both"/>
      </w:pPr>
    </w:p>
    <w:p w14:paraId="64A2C2D0" w14:textId="77777777" w:rsidR="00B115AC" w:rsidRDefault="007A2611" w:rsidP="00376353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2. </w:t>
      </w:r>
      <w:r w:rsidR="00BB0A78">
        <w:rPr>
          <w:b/>
        </w:rPr>
        <w:t xml:space="preserve">RCP </w:t>
      </w:r>
      <w:r w:rsidR="00B115AC" w:rsidRPr="00B115AC">
        <w:rPr>
          <w:b/>
        </w:rPr>
        <w:t xml:space="preserve">Biologie moléculaire </w:t>
      </w:r>
      <w:r w:rsidR="00B115AC">
        <w:rPr>
          <w:b/>
        </w:rPr>
        <w:t xml:space="preserve">de recours </w:t>
      </w:r>
    </w:p>
    <w:p w14:paraId="531882D9" w14:textId="77777777" w:rsidR="00B115AC" w:rsidRPr="00B115AC" w:rsidRDefault="00B115AC" w:rsidP="00B03C5F">
      <w:pPr>
        <w:spacing w:after="0" w:line="240" w:lineRule="auto"/>
        <w:jc w:val="both"/>
      </w:pPr>
    </w:p>
    <w:p w14:paraId="6E609E23" w14:textId="77777777" w:rsidR="00A125AF" w:rsidRPr="00113B78" w:rsidRDefault="004A2B8B" w:rsidP="00B03C5F">
      <w:pPr>
        <w:spacing w:after="0" w:line="240" w:lineRule="auto"/>
        <w:jc w:val="both"/>
        <w:rPr>
          <w:b/>
        </w:rPr>
      </w:pPr>
      <w:r>
        <w:sym w:font="Wingdings" w:char="F077"/>
      </w:r>
      <w:r>
        <w:t xml:space="preserve"> </w:t>
      </w:r>
      <w:r w:rsidR="008F6D36">
        <w:t xml:space="preserve">Inscription auprès du </w:t>
      </w:r>
      <w:r w:rsidR="00A125AF" w:rsidRPr="00A125AF">
        <w:t xml:space="preserve">secrétariat </w:t>
      </w:r>
      <w:r w:rsidR="009D0391">
        <w:t>d</w:t>
      </w:r>
      <w:r w:rsidR="00A125AF" w:rsidRPr="00A125AF">
        <w:t xml:space="preserve">e la </w:t>
      </w:r>
      <w:r w:rsidR="00113B78">
        <w:t>r</w:t>
      </w:r>
      <w:r w:rsidR="00113B78" w:rsidRPr="00113B78">
        <w:t>éunion pluridisciplinaire transversale de Biologie Moléculaire.</w:t>
      </w:r>
      <w:r w:rsidR="00113B78">
        <w:rPr>
          <w:b/>
        </w:rPr>
        <w:t xml:space="preserve"> </w:t>
      </w:r>
      <w:r w:rsidR="00C611B9">
        <w:t>(Cf</w:t>
      </w:r>
      <w:r w:rsidR="009D0391">
        <w:t>.</w:t>
      </w:r>
      <w:r w:rsidR="00C611B9">
        <w:t xml:space="preserve"> </w:t>
      </w:r>
      <w:r w:rsidR="00CA4B23">
        <w:t xml:space="preserve">coordonnées </w:t>
      </w:r>
      <w:r w:rsidR="0056214C">
        <w:t>page 1)</w:t>
      </w:r>
    </w:p>
    <w:p w14:paraId="0B9FA6B8" w14:textId="77777777" w:rsidR="009D0391" w:rsidRDefault="009D0391" w:rsidP="00B03C5F">
      <w:pPr>
        <w:spacing w:after="0" w:line="240" w:lineRule="auto"/>
        <w:jc w:val="both"/>
      </w:pPr>
      <w:r>
        <w:t xml:space="preserve">Une </w:t>
      </w:r>
      <w:r w:rsidR="00A125AF" w:rsidRPr="00A125AF">
        <w:t xml:space="preserve">fiche </w:t>
      </w:r>
      <w:r>
        <w:t xml:space="preserve">de </w:t>
      </w:r>
      <w:r w:rsidR="00A125AF" w:rsidRPr="00A125AF">
        <w:t>RCP</w:t>
      </w:r>
      <w:r w:rsidR="00FE3AE5">
        <w:t xml:space="preserve"> </w:t>
      </w:r>
      <w:r w:rsidR="007D55F1">
        <w:t xml:space="preserve">spécifique </w:t>
      </w:r>
      <w:r w:rsidR="0021657E">
        <w:t>devra être</w:t>
      </w:r>
      <w:r w:rsidR="00A125AF" w:rsidRPr="00A125AF">
        <w:t xml:space="preserve"> complétée par le médecin</w:t>
      </w:r>
      <w:r w:rsidR="001A5AFA">
        <w:t xml:space="preserve"> </w:t>
      </w:r>
      <w:r w:rsidR="00152E9F">
        <w:t>demandeur</w:t>
      </w:r>
      <w:r w:rsidR="001A5AFA">
        <w:t>,</w:t>
      </w:r>
      <w:r w:rsidR="00A125AF" w:rsidRPr="00A125AF">
        <w:t xml:space="preserve"> </w:t>
      </w:r>
      <w:r w:rsidR="00FE3AE5">
        <w:t>référent</w:t>
      </w:r>
      <w:r w:rsidR="001A5AFA">
        <w:t xml:space="preserve"> du </w:t>
      </w:r>
      <w:r w:rsidR="00CA4B23">
        <w:t>patient,</w:t>
      </w:r>
      <w:r w:rsidR="005F5A96">
        <w:t xml:space="preserve"> </w:t>
      </w:r>
      <w:r w:rsidR="00186F73">
        <w:t xml:space="preserve">et </w:t>
      </w:r>
      <w:r w:rsidR="00F2509E">
        <w:t>adr</w:t>
      </w:r>
      <w:r w:rsidR="00186F73">
        <w:t>essée au secrétariat RCP avec le CR des analyses moléculaires déjà réalisées.</w:t>
      </w:r>
    </w:p>
    <w:p w14:paraId="06CB9A05" w14:textId="77777777" w:rsidR="00152E9F" w:rsidRDefault="00152E9F" w:rsidP="00B03C5F">
      <w:pPr>
        <w:spacing w:after="0" w:line="240" w:lineRule="auto"/>
        <w:jc w:val="both"/>
      </w:pPr>
    </w:p>
    <w:p w14:paraId="4BE055A2" w14:textId="77777777" w:rsidR="00623929" w:rsidRDefault="00623929" w:rsidP="00B03C5F">
      <w:pPr>
        <w:spacing w:after="0" w:line="240" w:lineRule="auto"/>
        <w:jc w:val="both"/>
        <w:rPr>
          <w:rFonts w:ascii="Calibri" w:hAnsi="Calibri" w:cs="Calibri"/>
        </w:rPr>
      </w:pPr>
      <w:r>
        <w:sym w:font="Wingdings" w:char="F077"/>
      </w:r>
      <w:r>
        <w:t xml:space="preserve"> Rôle du secrétariat de RC</w:t>
      </w:r>
      <w:r w:rsidR="00152E9F">
        <w:rPr>
          <w:rFonts w:ascii="Calibri" w:hAnsi="Calibri" w:cs="Calibri"/>
        </w:rPr>
        <w:t>P</w:t>
      </w:r>
    </w:p>
    <w:p w14:paraId="7841FAF2" w14:textId="77777777" w:rsidR="00A125AF" w:rsidRDefault="00623929" w:rsidP="000D4A3F">
      <w:pPr>
        <w:spacing w:after="0" w:line="240" w:lineRule="auto"/>
        <w:ind w:left="426"/>
        <w:jc w:val="both"/>
      </w:pPr>
      <w:r>
        <w:rPr>
          <w:rFonts w:ascii="Calibri" w:hAnsi="Calibri" w:cs="Calibri"/>
        </w:rPr>
        <w:t>-</w:t>
      </w:r>
      <w:r w:rsidR="000D4A3F">
        <w:rPr>
          <w:rFonts w:ascii="Calibri" w:hAnsi="Calibri" w:cs="Calibri"/>
        </w:rPr>
        <w:t> </w:t>
      </w:r>
      <w:r>
        <w:rPr>
          <w:rFonts w:ascii="Calibri" w:hAnsi="Calibri" w:cs="Calibri"/>
        </w:rPr>
        <w:t>Préparation des dossiers à présenter</w:t>
      </w:r>
      <w:r>
        <w:t xml:space="preserve"> : </w:t>
      </w:r>
      <w:r w:rsidR="00520589">
        <w:t xml:space="preserve">vérification </w:t>
      </w:r>
      <w:r>
        <w:t>de</w:t>
      </w:r>
      <w:r w:rsidR="00A125AF" w:rsidRPr="00A125AF">
        <w:t xml:space="preserve"> l’exhaustivité des informations transmises</w:t>
      </w:r>
      <w:r w:rsidR="00FE3AE5">
        <w:t xml:space="preserve"> nécessaires à la discussion du dossier en RCP</w:t>
      </w:r>
      <w:r w:rsidR="0021657E">
        <w:t xml:space="preserve"> (complétude de la fiche, documents join</w:t>
      </w:r>
      <w:r w:rsidR="00186F73">
        <w:t>ts</w:t>
      </w:r>
      <w:r w:rsidR="0021657E">
        <w:t>)</w:t>
      </w:r>
    </w:p>
    <w:p w14:paraId="1645009D" w14:textId="77777777" w:rsidR="00623929" w:rsidRDefault="00623929" w:rsidP="000D4A3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>
        <w:t>-</w:t>
      </w:r>
      <w:r w:rsidR="000D4A3F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Saisie du CR de RCP et envoi </w:t>
      </w:r>
      <w:r w:rsidR="00B03C5F">
        <w:rPr>
          <w:rFonts w:ascii="Calibri" w:hAnsi="Calibri" w:cs="Calibri"/>
        </w:rPr>
        <w:t>par courrier,</w:t>
      </w:r>
      <w:r>
        <w:rPr>
          <w:rFonts w:ascii="Calibri" w:hAnsi="Calibri" w:cs="Calibri"/>
        </w:rPr>
        <w:t xml:space="preserve"> </w:t>
      </w:r>
      <w:r w:rsidR="00152E9F">
        <w:rPr>
          <w:rFonts w:ascii="Calibri" w:hAnsi="Calibri" w:cs="Calibri"/>
        </w:rPr>
        <w:t>une fois validé</w:t>
      </w:r>
      <w:r w:rsidR="00B03C5F">
        <w:rPr>
          <w:rFonts w:ascii="Calibri" w:hAnsi="Calibri" w:cs="Calibri"/>
        </w:rPr>
        <w:t>,</w:t>
      </w:r>
      <w:r w:rsidR="00152E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au médecin </w:t>
      </w:r>
      <w:r w:rsidR="00152E9F">
        <w:rPr>
          <w:rFonts w:ascii="Calibri" w:hAnsi="Calibri" w:cs="Calibri"/>
        </w:rPr>
        <w:t>demandeur, référent du patient</w:t>
      </w:r>
      <w:r w:rsidR="00254B8B">
        <w:rPr>
          <w:rFonts w:ascii="Calibri" w:hAnsi="Calibri" w:cs="Calibri"/>
        </w:rPr>
        <w:t>.</w:t>
      </w:r>
    </w:p>
    <w:p w14:paraId="703553AF" w14:textId="77777777" w:rsidR="00FE3AE5" w:rsidRDefault="00623929" w:rsidP="00B03C5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Le médecin </w:t>
      </w:r>
      <w:r w:rsidR="00A125AF">
        <w:t>pourra consulter le CR de RCP via le portail santé de l’IPC (en cours de mise en place) ou recevoir le CR de RCP par</w:t>
      </w:r>
      <w:r w:rsidR="00FE3AE5">
        <w:t xml:space="preserve"> messagerie sécurisée </w:t>
      </w:r>
      <w:r w:rsidR="005F5A96">
        <w:t>ms santé (en cours de mise en place</w:t>
      </w:r>
      <w:r w:rsidR="00A125AF">
        <w:t>)</w:t>
      </w:r>
      <w:r w:rsidR="00847451">
        <w:t>.</w:t>
      </w:r>
    </w:p>
    <w:p w14:paraId="48D859CF" w14:textId="77777777" w:rsidR="00623929" w:rsidRPr="00623929" w:rsidRDefault="00623929" w:rsidP="00B03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EFA3025" w14:textId="77777777" w:rsidR="0056214C" w:rsidRPr="0056214C" w:rsidRDefault="00FE3AE5" w:rsidP="00B03C5F">
      <w:pPr>
        <w:jc w:val="both"/>
      </w:pPr>
      <w:r>
        <w:sym w:font="Wingdings" w:char="F077"/>
      </w:r>
      <w:r>
        <w:t xml:space="preserve"> Le médecin référent </w:t>
      </w:r>
      <w:r w:rsidR="00254B8B">
        <w:t>informera le patient de</w:t>
      </w:r>
      <w:r>
        <w:t xml:space="preserve"> l’avis de la RCP</w:t>
      </w:r>
      <w:r w:rsidR="00254B8B">
        <w:t xml:space="preserve"> et des éventuelles propositions thérapeutiques spécifiques</w:t>
      </w:r>
      <w:r>
        <w:t xml:space="preserve">. </w:t>
      </w:r>
      <w:r w:rsidR="005F5A96">
        <w:t>En cas de proposition d’essai clinique</w:t>
      </w:r>
      <w:r w:rsidR="001207A3">
        <w:t xml:space="preserve"> disponible sur l’IPC</w:t>
      </w:r>
      <w:r w:rsidR="005F5A96">
        <w:t xml:space="preserve">, un RDV avec un oncologue </w:t>
      </w:r>
      <w:r w:rsidR="001207A3">
        <w:t>sera proposé et</w:t>
      </w:r>
      <w:r w:rsidR="005F5A96">
        <w:t xml:space="preserve"> les coordonnées du secrétariat RCP bio</w:t>
      </w:r>
      <w:r w:rsidR="00815DF9">
        <w:t xml:space="preserve">logie </w:t>
      </w:r>
      <w:r w:rsidR="005F5A96">
        <w:t>mol</w:t>
      </w:r>
      <w:r w:rsidR="00815DF9">
        <w:t>éculaire</w:t>
      </w:r>
      <w:r w:rsidR="005F5A96">
        <w:t xml:space="preserve"> </w:t>
      </w:r>
      <w:r w:rsidR="001207A3">
        <w:t xml:space="preserve">seront </w:t>
      </w:r>
      <w:r w:rsidR="005F5A96">
        <w:t xml:space="preserve">transmises afin </w:t>
      </w:r>
      <w:r w:rsidR="00815DF9">
        <w:t>d’</w:t>
      </w:r>
      <w:r w:rsidR="005F5A96">
        <w:t xml:space="preserve">organiser </w:t>
      </w:r>
      <w:r w:rsidR="001207A3">
        <w:t xml:space="preserve">cet éventuel </w:t>
      </w:r>
      <w:r w:rsidR="005F5A96">
        <w:t xml:space="preserve">RDV de </w:t>
      </w:r>
      <w:r w:rsidR="001207A3">
        <w:t>consultation</w:t>
      </w:r>
      <w:r w:rsidR="005F5A96">
        <w:t xml:space="preserve">. </w:t>
      </w:r>
      <w:r w:rsidR="0056214C">
        <w:br w:type="page"/>
      </w:r>
    </w:p>
    <w:p w14:paraId="4F15BC07" w14:textId="77777777" w:rsidR="00606D25" w:rsidRDefault="000C4167" w:rsidP="00B0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rPr>
          <w:b/>
        </w:rPr>
      </w:pPr>
      <w:r>
        <w:rPr>
          <w:b/>
        </w:rPr>
        <w:lastRenderedPageBreak/>
        <w:t>Analyses réalisée</w:t>
      </w:r>
      <w:r w:rsidR="007D4F94">
        <w:rPr>
          <w:b/>
        </w:rPr>
        <w:t xml:space="preserve">s </w:t>
      </w:r>
    </w:p>
    <w:p w14:paraId="0FDB486A" w14:textId="77777777" w:rsidR="00254B8B" w:rsidRPr="00376353" w:rsidRDefault="00254B8B" w:rsidP="00B03C5F">
      <w:pPr>
        <w:spacing w:after="0" w:line="240" w:lineRule="auto"/>
        <w:jc w:val="both"/>
        <w:rPr>
          <w:color w:val="FF0000"/>
          <w:sz w:val="2"/>
          <w:szCs w:val="2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2224E5" w:rsidRPr="002224E5" w14:paraId="4D3BE321" w14:textId="77777777" w:rsidTr="0098046C">
        <w:tc>
          <w:tcPr>
            <w:tcW w:w="9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75C540" w14:textId="77777777" w:rsidR="002B32FC" w:rsidRPr="002224E5" w:rsidRDefault="00186F73" w:rsidP="000D4A3F">
            <w:pPr>
              <w:spacing w:before="120" w:after="120"/>
              <w:jc w:val="both"/>
              <w:rPr>
                <w:b/>
              </w:rPr>
            </w:pPr>
            <w:r w:rsidRPr="002224E5">
              <w:rPr>
                <w:b/>
              </w:rPr>
              <w:t>DEPARTEMENT DE BIOLOGIE DU CANCER</w:t>
            </w:r>
          </w:p>
          <w:p w14:paraId="431D11AD" w14:textId="77777777" w:rsidR="00186F73" w:rsidRPr="002224E5" w:rsidRDefault="00186F73" w:rsidP="000D4A3F">
            <w:pPr>
              <w:spacing w:before="120" w:after="120"/>
              <w:jc w:val="both"/>
            </w:pPr>
            <w:r w:rsidRPr="002224E5">
              <w:t>Pr H. SOBOL</w:t>
            </w:r>
            <w:r w:rsidR="00667B46" w:rsidRPr="002224E5">
              <w:t>,</w:t>
            </w:r>
            <w:r w:rsidRPr="002224E5">
              <w:t xml:space="preserve"> </w:t>
            </w:r>
            <w:r w:rsidRPr="002224E5">
              <w:rPr>
                <w:bCs/>
              </w:rPr>
              <w:t>Pr L. XERRI</w:t>
            </w:r>
            <w:r w:rsidR="00667B46" w:rsidRPr="002224E5">
              <w:rPr>
                <w:bCs/>
              </w:rPr>
              <w:t>,</w:t>
            </w:r>
            <w:r w:rsidRPr="002224E5">
              <w:rPr>
                <w:bCs/>
              </w:rPr>
              <w:t xml:space="preserve"> </w:t>
            </w:r>
            <w:r w:rsidR="00667B46" w:rsidRPr="002224E5">
              <w:t xml:space="preserve">Dr </w:t>
            </w:r>
            <w:r w:rsidRPr="002224E5">
              <w:t>D. BIRNBAUM</w:t>
            </w:r>
          </w:p>
        </w:tc>
      </w:tr>
      <w:tr w:rsidR="002224E5" w:rsidRPr="002224E5" w14:paraId="4A566839" w14:textId="77777777" w:rsidTr="0098046C">
        <w:trPr>
          <w:trHeight w:val="259"/>
        </w:trPr>
        <w:tc>
          <w:tcPr>
            <w:tcW w:w="9889" w:type="dxa"/>
            <w:shd w:val="clear" w:color="auto" w:fill="auto"/>
            <w:vAlign w:val="center"/>
          </w:tcPr>
          <w:p w14:paraId="0D853532" w14:textId="77777777" w:rsidR="0098046C" w:rsidRPr="002224E5" w:rsidRDefault="0098046C" w:rsidP="000D4A3F">
            <w:pPr>
              <w:spacing w:before="120" w:after="120"/>
              <w:rPr>
                <w:b/>
                <w:sz w:val="2"/>
                <w:shd w:val="clear" w:color="auto" w:fill="D9D9D9" w:themeFill="background1" w:themeFillShade="D9"/>
              </w:rPr>
            </w:pPr>
          </w:p>
        </w:tc>
      </w:tr>
      <w:tr w:rsidR="002224E5" w:rsidRPr="002224E5" w14:paraId="627824D6" w14:textId="77777777" w:rsidTr="00F37482">
        <w:tc>
          <w:tcPr>
            <w:tcW w:w="9889" w:type="dxa"/>
            <w:shd w:val="clear" w:color="auto" w:fill="D9D9D9" w:themeFill="background1" w:themeFillShade="D9"/>
            <w:vAlign w:val="center"/>
          </w:tcPr>
          <w:p w14:paraId="6FE94139" w14:textId="77777777" w:rsidR="00AE760C" w:rsidRPr="002224E5" w:rsidRDefault="00186F73" w:rsidP="00AE760C">
            <w:pPr>
              <w:spacing w:before="120" w:after="120"/>
              <w:rPr>
                <w:b/>
                <w:shd w:val="clear" w:color="auto" w:fill="D9D9D9" w:themeFill="background1" w:themeFillShade="D9"/>
              </w:rPr>
            </w:pPr>
            <w:r w:rsidRPr="002224E5">
              <w:rPr>
                <w:b/>
                <w:shd w:val="clear" w:color="auto" w:fill="D9D9D9" w:themeFill="background1" w:themeFillShade="D9"/>
              </w:rPr>
              <w:t>Analyses moléculaires sur matériel congelé</w:t>
            </w:r>
            <w:r w:rsidR="00667BD1" w:rsidRPr="002224E5">
              <w:rPr>
                <w:b/>
                <w:shd w:val="clear" w:color="auto" w:fill="D9D9D9" w:themeFill="background1" w:themeFillShade="D9"/>
              </w:rPr>
              <w:t xml:space="preserve"> ou </w:t>
            </w:r>
            <w:r w:rsidR="007B54E1" w:rsidRPr="002224E5">
              <w:rPr>
                <w:b/>
                <w:shd w:val="clear" w:color="auto" w:fill="D9D9D9" w:themeFill="background1" w:themeFillShade="D9"/>
              </w:rPr>
              <w:t xml:space="preserve">fixé et inclus en </w:t>
            </w:r>
            <w:r w:rsidRPr="002224E5">
              <w:rPr>
                <w:b/>
                <w:shd w:val="clear" w:color="auto" w:fill="D9D9D9" w:themeFill="background1" w:themeFillShade="D9"/>
              </w:rPr>
              <w:t xml:space="preserve">paraffine et </w:t>
            </w:r>
            <w:r w:rsidR="00667BD1" w:rsidRPr="002224E5">
              <w:rPr>
                <w:b/>
                <w:shd w:val="clear" w:color="auto" w:fill="D9D9D9" w:themeFill="background1" w:themeFillShade="D9"/>
              </w:rPr>
              <w:t xml:space="preserve">sur </w:t>
            </w:r>
            <w:r w:rsidRPr="002224E5">
              <w:rPr>
                <w:b/>
                <w:shd w:val="clear" w:color="auto" w:fill="D9D9D9" w:themeFill="background1" w:themeFillShade="D9"/>
              </w:rPr>
              <w:t>ADN tumoral circulant</w:t>
            </w:r>
            <w:r w:rsidR="00F93603" w:rsidRPr="002224E5">
              <w:rPr>
                <w:b/>
                <w:shd w:val="clear" w:color="auto" w:fill="D9D9D9" w:themeFill="background1" w:themeFillShade="D9"/>
              </w:rPr>
              <w:t xml:space="preserve"> (conformément au </w:t>
            </w:r>
            <w:r w:rsidR="005216ED" w:rsidRPr="002224E5">
              <w:rPr>
                <w:b/>
                <w:shd w:val="clear" w:color="auto" w:fill="D9D9D9" w:themeFill="background1" w:themeFillShade="D9"/>
              </w:rPr>
              <w:t>référentiel</w:t>
            </w:r>
            <w:r w:rsidR="00F93603" w:rsidRPr="002224E5">
              <w:rPr>
                <w:b/>
                <w:shd w:val="clear" w:color="auto" w:fill="D9D9D9" w:themeFill="background1" w:themeFillShade="D9"/>
              </w:rPr>
              <w:t xml:space="preserve"> des analyses de biologie du cancer :</w:t>
            </w:r>
            <w:r w:rsidR="00AE760C" w:rsidRPr="002224E5">
              <w:rPr>
                <w:b/>
                <w:shd w:val="clear" w:color="auto" w:fill="D9D9D9" w:themeFill="background1" w:themeFillShade="D9"/>
              </w:rPr>
              <w:t xml:space="preserve"> </w:t>
            </w:r>
            <w:hyperlink r:id="rId13" w:history="1">
              <w:r w:rsidR="00AE760C" w:rsidRPr="002224E5">
                <w:rPr>
                  <w:rStyle w:val="Lienhypertexte"/>
                  <w:b/>
                  <w:color w:val="auto"/>
                  <w:sz w:val="20"/>
                  <w:shd w:val="clear" w:color="auto" w:fill="D9D9D9" w:themeFill="background1" w:themeFillShade="D9"/>
                </w:rPr>
                <w:t>Manuel de prélèvement et référentiel des analyses de biologie du cancer</w:t>
              </w:r>
            </w:hyperlink>
            <w:r w:rsidR="00AE760C" w:rsidRPr="002224E5">
              <w:rPr>
                <w:b/>
                <w:sz w:val="20"/>
                <w:shd w:val="clear" w:color="auto" w:fill="D9D9D9" w:themeFill="background1" w:themeFillShade="D9"/>
              </w:rPr>
              <w:t>)</w:t>
            </w:r>
          </w:p>
        </w:tc>
      </w:tr>
      <w:tr w:rsidR="002224E5" w:rsidRPr="002224E5" w14:paraId="58415199" w14:textId="77777777" w:rsidTr="00F37482">
        <w:tc>
          <w:tcPr>
            <w:tcW w:w="9889" w:type="dxa"/>
          </w:tcPr>
          <w:p w14:paraId="362A0CC5" w14:textId="77777777" w:rsidR="005216ED" w:rsidRPr="002224E5" w:rsidRDefault="005216ED" w:rsidP="00A76A27">
            <w:pPr>
              <w:jc w:val="both"/>
              <w:rPr>
                <w:i/>
              </w:rPr>
            </w:pPr>
          </w:p>
          <w:p w14:paraId="0638B20B" w14:textId="77777777" w:rsidR="00BD5772" w:rsidRPr="002224E5" w:rsidRDefault="00BD5772" w:rsidP="00BD5772">
            <w:pPr>
              <w:jc w:val="both"/>
            </w:pPr>
            <w:r w:rsidRPr="002224E5">
              <w:rPr>
                <w:i/>
              </w:rPr>
              <w:t>Recherche de mutations et amplifications par séquençage NGS sur un panel de 96 gènes (tissu frais, congelé ou fixé) :</w:t>
            </w:r>
          </w:p>
          <w:p w14:paraId="4813069E" w14:textId="77777777" w:rsidR="00BD5772" w:rsidRPr="002224E5" w:rsidRDefault="00BD5772" w:rsidP="00BD5772">
            <w:pPr>
              <w:pStyle w:val="Paragraphedeliste"/>
              <w:numPr>
                <w:ilvl w:val="0"/>
                <w:numId w:val="9"/>
              </w:numPr>
              <w:jc w:val="both"/>
            </w:pPr>
            <w:proofErr w:type="gramStart"/>
            <w:r w:rsidRPr="002224E5">
              <w:t>oncogènes</w:t>
            </w:r>
            <w:proofErr w:type="gramEnd"/>
            <w:r w:rsidRPr="002224E5">
              <w:t xml:space="preserve"> (séquençage des régions hot spot mutationnel)</w:t>
            </w:r>
          </w:p>
          <w:p w14:paraId="1CF1C533" w14:textId="77777777" w:rsidR="00BD5772" w:rsidRPr="002224E5" w:rsidRDefault="00BD5772" w:rsidP="00BD5772">
            <w:pPr>
              <w:pStyle w:val="Paragraphedeliste"/>
              <w:numPr>
                <w:ilvl w:val="0"/>
                <w:numId w:val="9"/>
              </w:numPr>
              <w:jc w:val="both"/>
              <w:rPr>
                <w:i/>
              </w:rPr>
            </w:pPr>
            <w:proofErr w:type="gramStart"/>
            <w:r w:rsidRPr="002224E5">
              <w:t>gènes</w:t>
            </w:r>
            <w:proofErr w:type="gramEnd"/>
            <w:r w:rsidRPr="002224E5">
              <w:t xml:space="preserve"> suppresseurs de tumeurs (séquençage complet) </w:t>
            </w:r>
          </w:p>
          <w:p w14:paraId="0226FB4A" w14:textId="77777777" w:rsidR="00BD5772" w:rsidRPr="002224E5" w:rsidRDefault="00BD5772" w:rsidP="00BD5772">
            <w:pPr>
              <w:spacing w:after="120"/>
              <w:ind w:left="709"/>
              <w:jc w:val="both"/>
              <w:rPr>
                <w:i/>
              </w:rPr>
            </w:pPr>
            <w:r w:rsidRPr="002224E5">
              <w:rPr>
                <w:b/>
                <w:i/>
              </w:rPr>
              <w:t>NB :</w:t>
            </w:r>
            <w:r w:rsidRPr="002224E5">
              <w:rPr>
                <w:i/>
              </w:rPr>
              <w:t xml:space="preserve"> pour ces analyses la fiche de prescription doit être accompagnée de la note d’information sur l’analyse génétique tumorale signée par le patient. </w:t>
            </w:r>
          </w:p>
          <w:p w14:paraId="2C82FD7B" w14:textId="77777777" w:rsidR="00BD5772" w:rsidRPr="002224E5" w:rsidRDefault="00BD5772" w:rsidP="00BD5772">
            <w:pPr>
              <w:jc w:val="both"/>
            </w:pPr>
          </w:p>
          <w:p w14:paraId="384328FC" w14:textId="77777777" w:rsidR="00BD5772" w:rsidRPr="002224E5" w:rsidRDefault="00BD5772" w:rsidP="00BD5772">
            <w:pPr>
              <w:jc w:val="both"/>
              <w:rPr>
                <w:i/>
              </w:rPr>
            </w:pPr>
            <w:r w:rsidRPr="002224E5">
              <w:rPr>
                <w:i/>
              </w:rPr>
              <w:t>Recherche ciblée de mutation des gènes EGFR, KRAS, BRAF, IDH1, IDH2 sur ADN tumoral libre par PCR quantitative (plasma, urine, ascite, liquide pleural, LCR) :</w:t>
            </w:r>
          </w:p>
          <w:p w14:paraId="0388191A" w14:textId="77777777" w:rsidR="00BD5772" w:rsidRPr="002224E5" w:rsidRDefault="00BD5772" w:rsidP="00BD5772">
            <w:pPr>
              <w:pStyle w:val="Paragraphedeliste"/>
              <w:numPr>
                <w:ilvl w:val="0"/>
                <w:numId w:val="9"/>
              </w:numPr>
              <w:jc w:val="both"/>
            </w:pPr>
            <w:r w:rsidRPr="002224E5">
              <w:rPr>
                <w:i/>
              </w:rPr>
              <w:t>EGFR</w:t>
            </w:r>
            <w:r w:rsidRPr="002224E5">
              <w:t> : exons 18-21, mutations de sensibilité et de résistance</w:t>
            </w:r>
          </w:p>
          <w:p w14:paraId="1737ADD9" w14:textId="77777777" w:rsidR="00BD5772" w:rsidRPr="002224E5" w:rsidRDefault="00BD5772" w:rsidP="00BD5772">
            <w:pPr>
              <w:pStyle w:val="Paragraphedeliste"/>
              <w:numPr>
                <w:ilvl w:val="0"/>
                <w:numId w:val="9"/>
              </w:numPr>
              <w:jc w:val="both"/>
            </w:pPr>
            <w:r w:rsidRPr="002224E5">
              <w:rPr>
                <w:i/>
              </w:rPr>
              <w:t>KRAS</w:t>
            </w:r>
            <w:r w:rsidRPr="002224E5">
              <w:t> : exon 2</w:t>
            </w:r>
          </w:p>
          <w:p w14:paraId="4E152889" w14:textId="77777777" w:rsidR="00BD5772" w:rsidRPr="002224E5" w:rsidRDefault="00BD5772" w:rsidP="00BD5772">
            <w:pPr>
              <w:pStyle w:val="Paragraphedeliste"/>
              <w:numPr>
                <w:ilvl w:val="0"/>
                <w:numId w:val="9"/>
              </w:numPr>
              <w:jc w:val="both"/>
            </w:pPr>
            <w:r w:rsidRPr="002224E5">
              <w:rPr>
                <w:i/>
              </w:rPr>
              <w:t>BRAF</w:t>
            </w:r>
            <w:r w:rsidRPr="002224E5">
              <w:t> : mutations du codon V600</w:t>
            </w:r>
          </w:p>
          <w:p w14:paraId="1CC0ED48" w14:textId="77777777" w:rsidR="00BD5772" w:rsidRPr="002224E5" w:rsidRDefault="00BD5772" w:rsidP="00BD5772">
            <w:pPr>
              <w:pStyle w:val="Paragraphedeliste"/>
              <w:numPr>
                <w:ilvl w:val="0"/>
                <w:numId w:val="9"/>
              </w:numPr>
              <w:jc w:val="both"/>
            </w:pPr>
            <w:r w:rsidRPr="002224E5">
              <w:rPr>
                <w:i/>
              </w:rPr>
              <w:t>IDH1 / IDH2 </w:t>
            </w:r>
            <w:r w:rsidRPr="002224E5">
              <w:t>: mutations de sensibilité</w:t>
            </w:r>
          </w:p>
          <w:p w14:paraId="305BB102" w14:textId="77777777" w:rsidR="00BD5772" w:rsidRPr="002224E5" w:rsidRDefault="00BD5772" w:rsidP="00A76A27">
            <w:pPr>
              <w:jc w:val="both"/>
              <w:rPr>
                <w:i/>
              </w:rPr>
            </w:pPr>
          </w:p>
          <w:p w14:paraId="48A26900" w14:textId="77777777" w:rsidR="00A76A27" w:rsidRPr="002224E5" w:rsidRDefault="00A76A27" w:rsidP="00A76A27">
            <w:pPr>
              <w:jc w:val="both"/>
              <w:rPr>
                <w:i/>
              </w:rPr>
            </w:pPr>
            <w:r w:rsidRPr="002224E5">
              <w:rPr>
                <w:i/>
              </w:rPr>
              <w:t xml:space="preserve">Recherche de mutation par séquençage Sanger </w:t>
            </w:r>
            <w:r w:rsidR="00524167" w:rsidRPr="002224E5">
              <w:rPr>
                <w:i/>
              </w:rPr>
              <w:t>(</w:t>
            </w:r>
            <w:r w:rsidR="00F71107" w:rsidRPr="002224E5">
              <w:rPr>
                <w:i/>
              </w:rPr>
              <w:t xml:space="preserve">tissu </w:t>
            </w:r>
            <w:r w:rsidR="00524167" w:rsidRPr="002224E5">
              <w:rPr>
                <w:i/>
              </w:rPr>
              <w:t>frais, congelé ou fixé</w:t>
            </w:r>
            <w:r w:rsidRPr="002224E5">
              <w:rPr>
                <w:i/>
              </w:rPr>
              <w:t>)</w:t>
            </w:r>
            <w:r w:rsidR="007B54E1" w:rsidRPr="002224E5">
              <w:rPr>
                <w:i/>
              </w:rPr>
              <w:t> :</w:t>
            </w:r>
          </w:p>
          <w:tbl>
            <w:tblPr>
              <w:tblStyle w:val="Grilledutableau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126"/>
              <w:gridCol w:w="2552"/>
              <w:gridCol w:w="1979"/>
            </w:tblGrid>
            <w:tr w:rsidR="002224E5" w:rsidRPr="002224E5" w14:paraId="65DA946F" w14:textId="77777777" w:rsidTr="009F05D7">
              <w:tc>
                <w:tcPr>
                  <w:tcW w:w="2552" w:type="dxa"/>
                  <w:tcMar>
                    <w:left w:w="57" w:type="dxa"/>
                    <w:right w:w="57" w:type="dxa"/>
                  </w:tcMar>
                </w:tcPr>
                <w:p w14:paraId="19A30596" w14:textId="77777777" w:rsidR="00542B68" w:rsidRPr="002224E5" w:rsidRDefault="00542B68" w:rsidP="00F84D26">
                  <w:pPr>
                    <w:jc w:val="both"/>
                  </w:pPr>
                  <w:r w:rsidRPr="002224E5">
                    <w:rPr>
                      <w:i/>
                    </w:rPr>
                    <w:t>EGFR</w:t>
                  </w:r>
                  <w:r w:rsidRPr="002224E5">
                    <w:t xml:space="preserve"> (exon 18-21)</w:t>
                  </w:r>
                </w:p>
              </w:tc>
              <w:tc>
                <w:tcPr>
                  <w:tcW w:w="2126" w:type="dxa"/>
                  <w:tcMar>
                    <w:left w:w="57" w:type="dxa"/>
                    <w:right w:w="57" w:type="dxa"/>
                  </w:tcMar>
                </w:tcPr>
                <w:p w14:paraId="1E1A0424" w14:textId="77777777" w:rsidR="00542B68" w:rsidRPr="002224E5" w:rsidRDefault="00542B68" w:rsidP="00D2295F">
                  <w:pPr>
                    <w:jc w:val="both"/>
                  </w:pPr>
                  <w:r w:rsidRPr="002224E5">
                    <w:rPr>
                      <w:i/>
                    </w:rPr>
                    <w:t xml:space="preserve">BRAF </w:t>
                  </w:r>
                  <w:r w:rsidRPr="002224E5">
                    <w:t>(exon 15)</w:t>
                  </w:r>
                </w:p>
              </w:tc>
              <w:tc>
                <w:tcPr>
                  <w:tcW w:w="2552" w:type="dxa"/>
                  <w:tcMar>
                    <w:left w:w="57" w:type="dxa"/>
                    <w:right w:w="57" w:type="dxa"/>
                  </w:tcMar>
                </w:tcPr>
                <w:p w14:paraId="671D98D7" w14:textId="77777777" w:rsidR="00542B68" w:rsidRPr="002224E5" w:rsidRDefault="00542B68" w:rsidP="009F05D7">
                  <w:pPr>
                    <w:jc w:val="both"/>
                    <w:rPr>
                      <w:i/>
                    </w:rPr>
                  </w:pPr>
                  <w:r w:rsidRPr="002224E5">
                    <w:rPr>
                      <w:i/>
                    </w:rPr>
                    <w:t>KIT</w:t>
                  </w:r>
                  <w:r w:rsidR="009F05D7" w:rsidRPr="002224E5">
                    <w:rPr>
                      <w:i/>
                    </w:rPr>
                    <w:t xml:space="preserve"> </w:t>
                  </w:r>
                  <w:r w:rsidR="009F05D7" w:rsidRPr="002224E5">
                    <w:t>(exons 12, 18)</w:t>
                  </w:r>
                </w:p>
              </w:tc>
              <w:tc>
                <w:tcPr>
                  <w:tcW w:w="1979" w:type="dxa"/>
                </w:tcPr>
                <w:p w14:paraId="757D600C" w14:textId="77777777" w:rsidR="00542B68" w:rsidRPr="002224E5" w:rsidRDefault="00542B68" w:rsidP="009F05D7">
                  <w:pPr>
                    <w:jc w:val="both"/>
                    <w:rPr>
                      <w:i/>
                    </w:rPr>
                  </w:pPr>
                  <w:r w:rsidRPr="002224E5">
                    <w:rPr>
                      <w:i/>
                    </w:rPr>
                    <w:t>IDH1</w:t>
                  </w:r>
                  <w:r w:rsidR="009F05D7" w:rsidRPr="002224E5">
                    <w:t xml:space="preserve"> (exon 4)</w:t>
                  </w:r>
                </w:p>
              </w:tc>
            </w:tr>
            <w:tr w:rsidR="002224E5" w:rsidRPr="002224E5" w14:paraId="0F6825F7" w14:textId="77777777" w:rsidTr="009F05D7">
              <w:tc>
                <w:tcPr>
                  <w:tcW w:w="2552" w:type="dxa"/>
                  <w:tcMar>
                    <w:left w:w="57" w:type="dxa"/>
                    <w:right w:w="57" w:type="dxa"/>
                  </w:tcMar>
                </w:tcPr>
                <w:p w14:paraId="0D7D4BB5" w14:textId="77777777" w:rsidR="00542B68" w:rsidRPr="002224E5" w:rsidRDefault="00542B68" w:rsidP="00F84D26">
                  <w:pPr>
                    <w:jc w:val="both"/>
                  </w:pPr>
                  <w:r w:rsidRPr="002224E5">
                    <w:rPr>
                      <w:i/>
                    </w:rPr>
                    <w:t xml:space="preserve">KRAS </w:t>
                  </w:r>
                  <w:r w:rsidRPr="002224E5">
                    <w:t>(exons 2-4)</w:t>
                  </w:r>
                </w:p>
              </w:tc>
              <w:tc>
                <w:tcPr>
                  <w:tcW w:w="2126" w:type="dxa"/>
                  <w:tcMar>
                    <w:left w:w="57" w:type="dxa"/>
                    <w:right w:w="57" w:type="dxa"/>
                  </w:tcMar>
                </w:tcPr>
                <w:p w14:paraId="1ACE0904" w14:textId="77777777" w:rsidR="00542B68" w:rsidRPr="002224E5" w:rsidRDefault="00542B68" w:rsidP="00D2295F">
                  <w:pPr>
                    <w:jc w:val="both"/>
                    <w:rPr>
                      <w:i/>
                    </w:rPr>
                  </w:pPr>
                  <w:r w:rsidRPr="002224E5">
                    <w:rPr>
                      <w:i/>
                    </w:rPr>
                    <w:t>MET</w:t>
                  </w:r>
                  <w:r w:rsidRPr="002224E5">
                    <w:t xml:space="preserve"> (exon 14)</w:t>
                  </w:r>
                </w:p>
              </w:tc>
              <w:tc>
                <w:tcPr>
                  <w:tcW w:w="2552" w:type="dxa"/>
                  <w:tcMar>
                    <w:left w:w="57" w:type="dxa"/>
                    <w:right w:w="57" w:type="dxa"/>
                  </w:tcMar>
                </w:tcPr>
                <w:p w14:paraId="6D3CA303" w14:textId="77777777" w:rsidR="00542B68" w:rsidRPr="002224E5" w:rsidRDefault="00542B68" w:rsidP="009F05D7">
                  <w:pPr>
                    <w:jc w:val="both"/>
                    <w:rPr>
                      <w:i/>
                    </w:rPr>
                  </w:pPr>
                  <w:r w:rsidRPr="002224E5">
                    <w:rPr>
                      <w:i/>
                    </w:rPr>
                    <w:t>PDGFRA</w:t>
                  </w:r>
                  <w:r w:rsidR="009F05D7" w:rsidRPr="002224E5">
                    <w:rPr>
                      <w:i/>
                    </w:rPr>
                    <w:t xml:space="preserve"> </w:t>
                  </w:r>
                  <w:r w:rsidR="009F05D7" w:rsidRPr="002224E5">
                    <w:t>(exons 9, 11)</w:t>
                  </w:r>
                </w:p>
              </w:tc>
              <w:tc>
                <w:tcPr>
                  <w:tcW w:w="1979" w:type="dxa"/>
                </w:tcPr>
                <w:p w14:paraId="4A468BA5" w14:textId="77777777" w:rsidR="00542B68" w:rsidRPr="002224E5" w:rsidRDefault="00542B68" w:rsidP="009F05D7">
                  <w:pPr>
                    <w:jc w:val="both"/>
                    <w:rPr>
                      <w:i/>
                    </w:rPr>
                  </w:pPr>
                  <w:r w:rsidRPr="002224E5">
                    <w:rPr>
                      <w:i/>
                    </w:rPr>
                    <w:t>IDH2</w:t>
                  </w:r>
                  <w:r w:rsidR="009F05D7" w:rsidRPr="002224E5">
                    <w:t xml:space="preserve"> (exon 4)</w:t>
                  </w:r>
                </w:p>
              </w:tc>
            </w:tr>
            <w:tr w:rsidR="002224E5" w:rsidRPr="002224E5" w14:paraId="00B32037" w14:textId="77777777" w:rsidTr="009F05D7">
              <w:tc>
                <w:tcPr>
                  <w:tcW w:w="2552" w:type="dxa"/>
                  <w:tcMar>
                    <w:left w:w="57" w:type="dxa"/>
                    <w:right w:w="57" w:type="dxa"/>
                  </w:tcMar>
                </w:tcPr>
                <w:p w14:paraId="29853339" w14:textId="77777777" w:rsidR="00542B68" w:rsidRPr="002224E5" w:rsidRDefault="00542B68" w:rsidP="00F84D26">
                  <w:pPr>
                    <w:jc w:val="both"/>
                    <w:rPr>
                      <w:i/>
                    </w:rPr>
                  </w:pPr>
                  <w:r w:rsidRPr="002224E5">
                    <w:rPr>
                      <w:i/>
                    </w:rPr>
                    <w:t xml:space="preserve">NRAS </w:t>
                  </w:r>
                  <w:r w:rsidRPr="002224E5">
                    <w:t>(exons 2-4)</w:t>
                  </w:r>
                </w:p>
              </w:tc>
              <w:tc>
                <w:tcPr>
                  <w:tcW w:w="2126" w:type="dxa"/>
                  <w:tcMar>
                    <w:left w:w="57" w:type="dxa"/>
                    <w:right w:w="57" w:type="dxa"/>
                  </w:tcMar>
                </w:tcPr>
                <w:p w14:paraId="760AD7E9" w14:textId="77777777" w:rsidR="00542B68" w:rsidRPr="002224E5" w:rsidRDefault="00542B68" w:rsidP="00F17F71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2552" w:type="dxa"/>
                  <w:tcMar>
                    <w:left w:w="57" w:type="dxa"/>
                    <w:right w:w="57" w:type="dxa"/>
                  </w:tcMar>
                </w:tcPr>
                <w:p w14:paraId="190A0D6B" w14:textId="77777777" w:rsidR="00542B68" w:rsidRPr="002224E5" w:rsidRDefault="00542B68" w:rsidP="00D2295F">
                  <w:pPr>
                    <w:jc w:val="both"/>
                  </w:pPr>
                </w:p>
              </w:tc>
              <w:tc>
                <w:tcPr>
                  <w:tcW w:w="1979" w:type="dxa"/>
                </w:tcPr>
                <w:p w14:paraId="31B17A71" w14:textId="77777777" w:rsidR="00542B68" w:rsidRPr="002224E5" w:rsidRDefault="00542B68" w:rsidP="009F05D7">
                  <w:pPr>
                    <w:jc w:val="both"/>
                  </w:pPr>
                  <w:r w:rsidRPr="002224E5">
                    <w:rPr>
                      <w:i/>
                    </w:rPr>
                    <w:t>FOXL2</w:t>
                  </w:r>
                  <w:r w:rsidR="009F05D7" w:rsidRPr="002224E5">
                    <w:t xml:space="preserve"> (exon 1)</w:t>
                  </w:r>
                </w:p>
              </w:tc>
            </w:tr>
          </w:tbl>
          <w:p w14:paraId="72E78551" w14:textId="77777777" w:rsidR="009B17F4" w:rsidRPr="002224E5" w:rsidRDefault="009B17F4" w:rsidP="00B03C5F">
            <w:pPr>
              <w:jc w:val="both"/>
              <w:rPr>
                <w:i/>
              </w:rPr>
            </w:pPr>
          </w:p>
          <w:p w14:paraId="36F25C21" w14:textId="77777777" w:rsidR="00F17F71" w:rsidRPr="002224E5" w:rsidRDefault="00F17F71" w:rsidP="00B03C5F">
            <w:pPr>
              <w:jc w:val="both"/>
              <w:rPr>
                <w:i/>
              </w:rPr>
            </w:pPr>
            <w:r w:rsidRPr="002224E5">
              <w:rPr>
                <w:i/>
              </w:rPr>
              <w:t>Autres analyses moléculaires</w:t>
            </w:r>
            <w:r w:rsidR="009F05D7" w:rsidRPr="002224E5">
              <w:rPr>
                <w:i/>
              </w:rPr>
              <w:t xml:space="preserve"> (tissu frais, congelé ou fixé) :</w:t>
            </w:r>
          </w:p>
          <w:p w14:paraId="0AC52BFE" w14:textId="77777777" w:rsidR="00F17F71" w:rsidRPr="002224E5" w:rsidRDefault="00F17F71" w:rsidP="00A933E8">
            <w:pPr>
              <w:pStyle w:val="Paragraphedeliste"/>
              <w:numPr>
                <w:ilvl w:val="0"/>
                <w:numId w:val="9"/>
              </w:numPr>
              <w:jc w:val="both"/>
              <w:rPr>
                <w:i/>
              </w:rPr>
            </w:pPr>
            <w:proofErr w:type="gramStart"/>
            <w:r w:rsidRPr="002224E5">
              <w:t>méthylation</w:t>
            </w:r>
            <w:proofErr w:type="gramEnd"/>
            <w:r w:rsidRPr="002224E5">
              <w:t xml:space="preserve"> du promoteur </w:t>
            </w:r>
            <w:r w:rsidRPr="002224E5">
              <w:rPr>
                <w:i/>
              </w:rPr>
              <w:t>MLH1</w:t>
            </w:r>
          </w:p>
          <w:p w14:paraId="4935661F" w14:textId="77777777" w:rsidR="00F17F71" w:rsidRPr="002224E5" w:rsidRDefault="00F17F71" w:rsidP="00A933E8">
            <w:pPr>
              <w:pStyle w:val="Paragraphedeliste"/>
              <w:numPr>
                <w:ilvl w:val="0"/>
                <w:numId w:val="9"/>
              </w:numPr>
              <w:jc w:val="both"/>
            </w:pPr>
            <w:proofErr w:type="gramStart"/>
            <w:r w:rsidRPr="002224E5">
              <w:t>instabilité</w:t>
            </w:r>
            <w:proofErr w:type="gramEnd"/>
            <w:r w:rsidRPr="002224E5">
              <w:t xml:space="preserve"> </w:t>
            </w:r>
            <w:proofErr w:type="spellStart"/>
            <w:r w:rsidRPr="002224E5">
              <w:t>microsatellitaire</w:t>
            </w:r>
            <w:proofErr w:type="spellEnd"/>
          </w:p>
          <w:p w14:paraId="209B8B9B" w14:textId="77777777" w:rsidR="00707410" w:rsidRPr="002224E5" w:rsidRDefault="00707410" w:rsidP="00707410">
            <w:pPr>
              <w:jc w:val="both"/>
              <w:rPr>
                <w:i/>
              </w:rPr>
            </w:pPr>
          </w:p>
          <w:p w14:paraId="0A4772B5" w14:textId="77777777" w:rsidR="00542B68" w:rsidRPr="002224E5" w:rsidRDefault="00542B68" w:rsidP="00542B68">
            <w:pPr>
              <w:jc w:val="both"/>
            </w:pPr>
            <w:r w:rsidRPr="002224E5">
              <w:rPr>
                <w:i/>
              </w:rPr>
              <w:t>Recherche de transcrits de fusion et mutations par séquençage RNA-Seq sur panel de gènes (tissu frais, congelé ou fixé) (mise en place en 2022) :</w:t>
            </w:r>
          </w:p>
          <w:p w14:paraId="72084279" w14:textId="77777777" w:rsidR="00542B68" w:rsidRPr="002224E5" w:rsidRDefault="00542B68" w:rsidP="00A933E8">
            <w:pPr>
              <w:pStyle w:val="Paragraphedeliste"/>
              <w:numPr>
                <w:ilvl w:val="0"/>
                <w:numId w:val="9"/>
              </w:numPr>
              <w:jc w:val="both"/>
            </w:pPr>
            <w:proofErr w:type="gramStart"/>
            <w:r w:rsidRPr="002224E5">
              <w:t>gènes</w:t>
            </w:r>
            <w:proofErr w:type="gramEnd"/>
            <w:r w:rsidRPr="002224E5">
              <w:t xml:space="preserve"> de fusion dans les cancers solides (poumon, digestifs, sarcomes </w:t>
            </w:r>
            <w:proofErr w:type="spellStart"/>
            <w:r w:rsidRPr="002224E5">
              <w:t>etc</w:t>
            </w:r>
            <w:proofErr w:type="spellEnd"/>
            <w:r w:rsidRPr="002224E5">
              <w:t>)</w:t>
            </w:r>
          </w:p>
          <w:p w14:paraId="41EB090E" w14:textId="77777777" w:rsidR="00542B68" w:rsidRPr="002224E5" w:rsidRDefault="00542B68" w:rsidP="00A933E8">
            <w:pPr>
              <w:pStyle w:val="Paragraphedeliste"/>
              <w:numPr>
                <w:ilvl w:val="0"/>
                <w:numId w:val="9"/>
              </w:numPr>
              <w:jc w:val="both"/>
            </w:pPr>
            <w:proofErr w:type="gramStart"/>
            <w:r w:rsidRPr="002224E5">
              <w:t>mutations</w:t>
            </w:r>
            <w:proofErr w:type="gramEnd"/>
            <w:r w:rsidRPr="002224E5">
              <w:t xml:space="preserve"> ponctuelles des oncogènes (régions hot spot mutationnel)</w:t>
            </w:r>
          </w:p>
          <w:p w14:paraId="70C7238B" w14:textId="77777777" w:rsidR="005216ED" w:rsidRPr="002224E5" w:rsidRDefault="005216ED" w:rsidP="00F17F71">
            <w:pPr>
              <w:tabs>
                <w:tab w:val="left" w:pos="284"/>
              </w:tabs>
              <w:jc w:val="both"/>
            </w:pPr>
          </w:p>
          <w:p w14:paraId="22AB73F3" w14:textId="77777777" w:rsidR="00542B68" w:rsidRPr="002224E5" w:rsidRDefault="00542B68" w:rsidP="00542B68">
            <w:pPr>
              <w:jc w:val="both"/>
            </w:pPr>
            <w:r w:rsidRPr="002224E5">
              <w:rPr>
                <w:i/>
              </w:rPr>
              <w:t>Recherche d’un déficit de la recombinaison homologue – profil HRD (tissu frais, congelé ou fixé) (mise en place en 2022) :</w:t>
            </w:r>
          </w:p>
          <w:p w14:paraId="268BECD9" w14:textId="77777777" w:rsidR="00542B68" w:rsidRPr="002224E5" w:rsidRDefault="00542B68" w:rsidP="00A933E8">
            <w:pPr>
              <w:pStyle w:val="Paragraphedeliste"/>
              <w:numPr>
                <w:ilvl w:val="0"/>
                <w:numId w:val="9"/>
              </w:numPr>
              <w:jc w:val="both"/>
            </w:pPr>
            <w:proofErr w:type="gramStart"/>
            <w:r w:rsidRPr="002224E5">
              <w:t>dans</w:t>
            </w:r>
            <w:proofErr w:type="gramEnd"/>
            <w:r w:rsidRPr="002224E5">
              <w:t xml:space="preserve"> le cancer de l’ovaire</w:t>
            </w:r>
          </w:p>
          <w:p w14:paraId="610A03D1" w14:textId="77777777" w:rsidR="00542B68" w:rsidRPr="002224E5" w:rsidRDefault="00542B68" w:rsidP="00542B68">
            <w:pPr>
              <w:pStyle w:val="Paragraphedeliste"/>
              <w:jc w:val="both"/>
            </w:pPr>
          </w:p>
        </w:tc>
      </w:tr>
      <w:tr w:rsidR="002224E5" w:rsidRPr="002224E5" w14:paraId="3E0E931E" w14:textId="77777777" w:rsidTr="00F37482">
        <w:tc>
          <w:tcPr>
            <w:tcW w:w="9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E45144" w14:textId="77777777" w:rsidR="000D4A3F" w:rsidRPr="002224E5" w:rsidRDefault="000D4A3F" w:rsidP="00957438">
            <w:pPr>
              <w:spacing w:before="120" w:after="120"/>
              <w:jc w:val="both"/>
              <w:rPr>
                <w:b/>
              </w:rPr>
            </w:pPr>
            <w:r w:rsidRPr="002224E5">
              <w:rPr>
                <w:b/>
              </w:rPr>
              <w:t>Amplification et translocations géniques en FISH</w:t>
            </w:r>
            <w:r w:rsidR="005216ED" w:rsidRPr="002224E5">
              <w:rPr>
                <w:b/>
              </w:rPr>
              <w:t>, IHC et/ou ISH</w:t>
            </w:r>
          </w:p>
        </w:tc>
      </w:tr>
      <w:tr w:rsidR="002224E5" w:rsidRPr="002224E5" w14:paraId="325177B4" w14:textId="77777777" w:rsidTr="00F37482">
        <w:tc>
          <w:tcPr>
            <w:tcW w:w="9889" w:type="dxa"/>
            <w:tcBorders>
              <w:bottom w:val="single" w:sz="4" w:space="0" w:color="auto"/>
            </w:tcBorders>
          </w:tcPr>
          <w:p w14:paraId="502EB193" w14:textId="77777777" w:rsidR="000E7FA2" w:rsidRPr="002224E5" w:rsidRDefault="000E7FA2" w:rsidP="00B03C5F">
            <w:pPr>
              <w:jc w:val="both"/>
            </w:pPr>
            <w:r w:rsidRPr="002224E5">
              <w:t xml:space="preserve">- </w:t>
            </w:r>
            <w:r w:rsidRPr="002224E5">
              <w:rPr>
                <w:u w:val="single"/>
              </w:rPr>
              <w:t xml:space="preserve">cancer du </w:t>
            </w:r>
            <w:proofErr w:type="gramStart"/>
            <w:r w:rsidRPr="002224E5">
              <w:rPr>
                <w:u w:val="single"/>
              </w:rPr>
              <w:t>poumon</w:t>
            </w:r>
            <w:r w:rsidRPr="002224E5">
              <w:t>:</w:t>
            </w:r>
            <w:proofErr w:type="gramEnd"/>
            <w:r w:rsidRPr="002224E5">
              <w:t xml:space="preserve"> réarrangements </w:t>
            </w:r>
            <w:r w:rsidRPr="002224E5">
              <w:rPr>
                <w:i/>
              </w:rPr>
              <w:t>ALK</w:t>
            </w:r>
            <w:r w:rsidRPr="002224E5">
              <w:t xml:space="preserve">, </w:t>
            </w:r>
            <w:r w:rsidRPr="002224E5">
              <w:rPr>
                <w:i/>
              </w:rPr>
              <w:t>ROS1</w:t>
            </w:r>
            <w:r w:rsidRPr="002224E5">
              <w:t xml:space="preserve">, </w:t>
            </w:r>
            <w:r w:rsidRPr="002224E5">
              <w:rPr>
                <w:i/>
              </w:rPr>
              <w:t>MET</w:t>
            </w:r>
            <w:r w:rsidR="005216ED" w:rsidRPr="002224E5">
              <w:rPr>
                <w:i/>
              </w:rPr>
              <w:t xml:space="preserve">, ERBB2 </w:t>
            </w:r>
            <w:r w:rsidR="005216ED" w:rsidRPr="002224E5">
              <w:t>(HER2)</w:t>
            </w:r>
          </w:p>
          <w:p w14:paraId="2A5F3FC7" w14:textId="77777777" w:rsidR="000E7FA2" w:rsidRPr="002224E5" w:rsidRDefault="000E7FA2" w:rsidP="00B03C5F">
            <w:pPr>
              <w:jc w:val="both"/>
            </w:pPr>
            <w:r w:rsidRPr="002224E5">
              <w:t xml:space="preserve">- </w:t>
            </w:r>
            <w:r w:rsidRPr="002224E5">
              <w:rPr>
                <w:u w:val="single"/>
              </w:rPr>
              <w:t>sarcomes</w:t>
            </w:r>
            <w:r w:rsidRPr="002224E5">
              <w:t xml:space="preserve"> : </w:t>
            </w:r>
          </w:p>
          <w:p w14:paraId="231E73EF" w14:textId="77777777" w:rsidR="000E7FA2" w:rsidRPr="002224E5" w:rsidRDefault="00667B46" w:rsidP="00667B46">
            <w:pPr>
              <w:tabs>
                <w:tab w:val="left" w:pos="284"/>
              </w:tabs>
              <w:jc w:val="both"/>
            </w:pPr>
            <w:r w:rsidRPr="002224E5">
              <w:tab/>
            </w:r>
            <w:r w:rsidR="000E7FA2" w:rsidRPr="002224E5">
              <w:t xml:space="preserve">- liposarcome bien différencié/dédifférencié : amplification </w:t>
            </w:r>
            <w:r w:rsidR="000E7FA2" w:rsidRPr="002224E5">
              <w:rPr>
                <w:i/>
              </w:rPr>
              <w:t>MDM2</w:t>
            </w:r>
          </w:p>
          <w:p w14:paraId="62526BF8" w14:textId="77777777" w:rsidR="000E7FA2" w:rsidRPr="002224E5" w:rsidRDefault="00667B46" w:rsidP="00A722F0">
            <w:pPr>
              <w:tabs>
                <w:tab w:val="left" w:pos="284"/>
              </w:tabs>
              <w:ind w:left="709" w:hanging="851"/>
              <w:jc w:val="both"/>
            </w:pPr>
            <w:r w:rsidRPr="002224E5">
              <w:tab/>
            </w:r>
            <w:r w:rsidR="000E7FA2" w:rsidRPr="002224E5">
              <w:t xml:space="preserve">- sarcome à cellules rondes, PNET et autres tumeurs à réarrangement </w:t>
            </w:r>
            <w:r w:rsidR="000E7FA2" w:rsidRPr="002224E5">
              <w:rPr>
                <w:i/>
              </w:rPr>
              <w:t>EWSR</w:t>
            </w:r>
            <w:proofErr w:type="gramStart"/>
            <w:r w:rsidR="000E7FA2" w:rsidRPr="002224E5">
              <w:rPr>
                <w:i/>
              </w:rPr>
              <w:t>1</w:t>
            </w:r>
            <w:r w:rsidR="000E7FA2" w:rsidRPr="002224E5">
              <w:t>:</w:t>
            </w:r>
            <w:proofErr w:type="gramEnd"/>
            <w:r w:rsidR="000E7FA2" w:rsidRPr="002224E5">
              <w:t xml:space="preserve"> réarrangement </w:t>
            </w:r>
            <w:r w:rsidR="000E7FA2" w:rsidRPr="002224E5">
              <w:rPr>
                <w:i/>
              </w:rPr>
              <w:t>EWSR1</w:t>
            </w:r>
          </w:p>
          <w:p w14:paraId="0F04E243" w14:textId="77777777" w:rsidR="000E7FA2" w:rsidRPr="002224E5" w:rsidRDefault="00667B46" w:rsidP="00667B46">
            <w:pPr>
              <w:tabs>
                <w:tab w:val="left" w:pos="284"/>
              </w:tabs>
              <w:jc w:val="both"/>
            </w:pPr>
            <w:r w:rsidRPr="002224E5">
              <w:tab/>
            </w:r>
            <w:r w:rsidR="000E7FA2" w:rsidRPr="002224E5">
              <w:t xml:space="preserve">- liposarcome </w:t>
            </w:r>
            <w:proofErr w:type="spellStart"/>
            <w:r w:rsidR="000E7FA2" w:rsidRPr="002224E5">
              <w:t>myxoïde</w:t>
            </w:r>
            <w:proofErr w:type="spellEnd"/>
            <w:r w:rsidR="000E7FA2" w:rsidRPr="002224E5">
              <w:t xml:space="preserve">/à cellules rondes : réarrangement </w:t>
            </w:r>
            <w:r w:rsidR="000E7FA2" w:rsidRPr="002224E5">
              <w:rPr>
                <w:i/>
              </w:rPr>
              <w:t>FUS - DDIT3</w:t>
            </w:r>
          </w:p>
          <w:p w14:paraId="4968DDA9" w14:textId="77777777" w:rsidR="000E7FA2" w:rsidRPr="002224E5" w:rsidRDefault="00667B46" w:rsidP="00667B46">
            <w:pPr>
              <w:tabs>
                <w:tab w:val="left" w:pos="284"/>
              </w:tabs>
              <w:jc w:val="both"/>
            </w:pPr>
            <w:r w:rsidRPr="002224E5">
              <w:lastRenderedPageBreak/>
              <w:tab/>
              <w:t xml:space="preserve">- </w:t>
            </w:r>
            <w:proofErr w:type="spellStart"/>
            <w:proofErr w:type="gramStart"/>
            <w:r w:rsidR="000E7FA2" w:rsidRPr="002224E5">
              <w:t>synovialosarcome</w:t>
            </w:r>
            <w:proofErr w:type="spellEnd"/>
            <w:r w:rsidR="000E7FA2" w:rsidRPr="002224E5">
              <w:t>:</w:t>
            </w:r>
            <w:proofErr w:type="gramEnd"/>
            <w:r w:rsidR="000E7FA2" w:rsidRPr="002224E5">
              <w:t xml:space="preserve"> translocation t(X</w:t>
            </w:r>
            <w:r w:rsidR="00BF15E7" w:rsidRPr="002224E5">
              <w:t>;</w:t>
            </w:r>
            <w:r w:rsidR="000E7FA2" w:rsidRPr="002224E5">
              <w:t xml:space="preserve">18) </w:t>
            </w:r>
            <w:r w:rsidR="000E7FA2" w:rsidRPr="002224E5">
              <w:rPr>
                <w:i/>
              </w:rPr>
              <w:t>SYT</w:t>
            </w:r>
          </w:p>
          <w:p w14:paraId="570C7482" w14:textId="77777777" w:rsidR="000E7FA2" w:rsidRPr="002224E5" w:rsidRDefault="00667B46" w:rsidP="00667B46">
            <w:pPr>
              <w:tabs>
                <w:tab w:val="left" w:pos="284"/>
              </w:tabs>
              <w:jc w:val="both"/>
            </w:pPr>
            <w:r w:rsidRPr="002224E5">
              <w:tab/>
              <w:t xml:space="preserve">- </w:t>
            </w:r>
            <w:r w:rsidR="000E7FA2" w:rsidRPr="002224E5">
              <w:t>angiosarcome radio-</w:t>
            </w:r>
            <w:proofErr w:type="gramStart"/>
            <w:r w:rsidR="000E7FA2" w:rsidRPr="002224E5">
              <w:t>induit:</w:t>
            </w:r>
            <w:proofErr w:type="gramEnd"/>
            <w:r w:rsidR="000E7FA2" w:rsidRPr="002224E5">
              <w:t xml:space="preserve"> amplification </w:t>
            </w:r>
            <w:r w:rsidR="000E7FA2" w:rsidRPr="002224E5">
              <w:rPr>
                <w:i/>
              </w:rPr>
              <w:t>MYC</w:t>
            </w:r>
          </w:p>
          <w:p w14:paraId="13DE9072" w14:textId="77777777" w:rsidR="000E7FA2" w:rsidRPr="002224E5" w:rsidRDefault="00667B46" w:rsidP="00667B46">
            <w:pPr>
              <w:tabs>
                <w:tab w:val="left" w:pos="284"/>
              </w:tabs>
              <w:jc w:val="both"/>
            </w:pPr>
            <w:r w:rsidRPr="002224E5">
              <w:tab/>
              <w:t xml:space="preserve">- </w:t>
            </w:r>
            <w:proofErr w:type="spellStart"/>
            <w:r w:rsidR="000E7FA2" w:rsidRPr="002224E5">
              <w:t>dermatofibrosarcome</w:t>
            </w:r>
            <w:proofErr w:type="spellEnd"/>
            <w:r w:rsidR="000E7FA2" w:rsidRPr="002224E5">
              <w:t xml:space="preserve"> de </w:t>
            </w:r>
            <w:proofErr w:type="spellStart"/>
            <w:r w:rsidR="000E7FA2" w:rsidRPr="002224E5">
              <w:t>Darier</w:t>
            </w:r>
            <w:proofErr w:type="spellEnd"/>
            <w:r w:rsidR="000E7FA2" w:rsidRPr="002224E5">
              <w:t>-</w:t>
            </w:r>
            <w:proofErr w:type="gramStart"/>
            <w:r w:rsidR="000E7FA2" w:rsidRPr="002224E5">
              <w:t>Ferrand:</w:t>
            </w:r>
            <w:proofErr w:type="gramEnd"/>
            <w:r w:rsidR="000E7FA2" w:rsidRPr="002224E5">
              <w:t xml:space="preserve"> réarrangement </w:t>
            </w:r>
            <w:r w:rsidR="000E7FA2" w:rsidRPr="002224E5">
              <w:rPr>
                <w:i/>
              </w:rPr>
              <w:t>PDGFB-COL1A1</w:t>
            </w:r>
          </w:p>
          <w:p w14:paraId="5C582A7F" w14:textId="77777777" w:rsidR="000E7FA2" w:rsidRPr="002224E5" w:rsidRDefault="00667B46" w:rsidP="00667B46">
            <w:pPr>
              <w:tabs>
                <w:tab w:val="left" w:pos="284"/>
              </w:tabs>
              <w:jc w:val="both"/>
            </w:pPr>
            <w:r w:rsidRPr="002224E5">
              <w:tab/>
              <w:t xml:space="preserve">- </w:t>
            </w:r>
            <w:r w:rsidR="000E7FA2" w:rsidRPr="002224E5">
              <w:t xml:space="preserve">fasciite </w:t>
            </w:r>
            <w:proofErr w:type="gramStart"/>
            <w:r w:rsidR="000E7FA2" w:rsidRPr="002224E5">
              <w:t>nodulaire:</w:t>
            </w:r>
            <w:proofErr w:type="gramEnd"/>
            <w:r w:rsidR="000E7FA2" w:rsidRPr="002224E5">
              <w:t xml:space="preserve"> réarrangement </w:t>
            </w:r>
            <w:r w:rsidR="000E7FA2" w:rsidRPr="002224E5">
              <w:rPr>
                <w:i/>
              </w:rPr>
              <w:t>USP6</w:t>
            </w:r>
          </w:p>
          <w:p w14:paraId="3D63361C" w14:textId="77777777" w:rsidR="000E7FA2" w:rsidRPr="002224E5" w:rsidRDefault="00667B46" w:rsidP="00667B46">
            <w:pPr>
              <w:tabs>
                <w:tab w:val="left" w:pos="284"/>
              </w:tabs>
              <w:jc w:val="both"/>
            </w:pPr>
            <w:r w:rsidRPr="002224E5">
              <w:tab/>
              <w:t xml:space="preserve">- </w:t>
            </w:r>
            <w:r w:rsidR="000E7FA2" w:rsidRPr="002224E5">
              <w:t xml:space="preserve">tumeur </w:t>
            </w:r>
            <w:proofErr w:type="spellStart"/>
            <w:r w:rsidR="000E7FA2" w:rsidRPr="002224E5">
              <w:t>myofibroblastique</w:t>
            </w:r>
            <w:proofErr w:type="spellEnd"/>
            <w:r w:rsidR="000E7FA2" w:rsidRPr="002224E5">
              <w:t xml:space="preserve"> </w:t>
            </w:r>
            <w:proofErr w:type="gramStart"/>
            <w:r w:rsidR="000E7FA2" w:rsidRPr="002224E5">
              <w:t>inflammatoire:</w:t>
            </w:r>
            <w:proofErr w:type="gramEnd"/>
            <w:r w:rsidR="000E7FA2" w:rsidRPr="002224E5">
              <w:t xml:space="preserve"> réarrangement </w:t>
            </w:r>
            <w:r w:rsidR="000E7FA2" w:rsidRPr="002224E5">
              <w:rPr>
                <w:i/>
              </w:rPr>
              <w:t>ALK</w:t>
            </w:r>
          </w:p>
          <w:p w14:paraId="221FA033" w14:textId="77777777" w:rsidR="00F01729" w:rsidRPr="002224E5" w:rsidRDefault="00F01729" w:rsidP="00B03C5F">
            <w:pPr>
              <w:jc w:val="both"/>
            </w:pPr>
          </w:p>
        </w:tc>
      </w:tr>
      <w:tr w:rsidR="002224E5" w:rsidRPr="002224E5" w14:paraId="5209DB18" w14:textId="77777777" w:rsidTr="00F37482">
        <w:tc>
          <w:tcPr>
            <w:tcW w:w="9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6A108D" w14:textId="77777777" w:rsidR="002B32FC" w:rsidRPr="002224E5" w:rsidRDefault="004F6575" w:rsidP="000D4A3F">
            <w:pPr>
              <w:spacing w:before="120" w:after="120"/>
              <w:jc w:val="both"/>
              <w:rPr>
                <w:b/>
              </w:rPr>
            </w:pPr>
            <w:r w:rsidRPr="002224E5">
              <w:rPr>
                <w:b/>
              </w:rPr>
              <w:lastRenderedPageBreak/>
              <w:t xml:space="preserve">Analyses moléculaires </w:t>
            </w:r>
            <w:r w:rsidR="00520589" w:rsidRPr="002224E5">
              <w:rPr>
                <w:b/>
              </w:rPr>
              <w:t xml:space="preserve">à haut </w:t>
            </w:r>
            <w:r w:rsidRPr="002224E5">
              <w:rPr>
                <w:b/>
              </w:rPr>
              <w:t>débit</w:t>
            </w:r>
          </w:p>
        </w:tc>
      </w:tr>
      <w:tr w:rsidR="002224E5" w:rsidRPr="002224E5" w14:paraId="65442832" w14:textId="77777777" w:rsidTr="00F37482">
        <w:trPr>
          <w:trHeight w:val="471"/>
        </w:trPr>
        <w:tc>
          <w:tcPr>
            <w:tcW w:w="9889" w:type="dxa"/>
            <w:shd w:val="clear" w:color="auto" w:fill="auto"/>
          </w:tcPr>
          <w:p w14:paraId="5F271AE2" w14:textId="77777777" w:rsidR="00186F73" w:rsidRPr="002224E5" w:rsidRDefault="00520589" w:rsidP="00B03C5F">
            <w:pPr>
              <w:jc w:val="both"/>
            </w:pPr>
            <w:r w:rsidRPr="002224E5">
              <w:rPr>
                <w:b/>
              </w:rPr>
              <w:t xml:space="preserve">- </w:t>
            </w:r>
            <w:r w:rsidR="00186F73" w:rsidRPr="002224E5">
              <w:rPr>
                <w:b/>
              </w:rPr>
              <w:t>Altération du nombre de copies des gènes</w:t>
            </w:r>
            <w:r w:rsidRPr="002224E5">
              <w:t xml:space="preserve"> : </w:t>
            </w:r>
            <w:r w:rsidR="00186F73" w:rsidRPr="002224E5">
              <w:t>CGH-</w:t>
            </w:r>
            <w:proofErr w:type="spellStart"/>
            <w:r w:rsidR="00186F73" w:rsidRPr="002224E5">
              <w:t>array</w:t>
            </w:r>
            <w:proofErr w:type="spellEnd"/>
            <w:r w:rsidR="00186F73" w:rsidRPr="002224E5">
              <w:t xml:space="preserve"> sur plateforme Agilent</w:t>
            </w:r>
          </w:p>
          <w:p w14:paraId="7A3F30E8" w14:textId="77777777" w:rsidR="00186F73" w:rsidRPr="002224E5" w:rsidRDefault="000D4A3F" w:rsidP="000D4A3F">
            <w:pPr>
              <w:tabs>
                <w:tab w:val="left" w:pos="284"/>
              </w:tabs>
              <w:jc w:val="both"/>
            </w:pPr>
            <w:r w:rsidRPr="002224E5">
              <w:tab/>
            </w:r>
            <w:r w:rsidR="00186F73" w:rsidRPr="002224E5">
              <w:t xml:space="preserve">Matériel congelé ou </w:t>
            </w:r>
            <w:r w:rsidRPr="002224E5">
              <w:t xml:space="preserve">fixé et inclus en </w:t>
            </w:r>
            <w:r w:rsidR="00186F73" w:rsidRPr="002224E5">
              <w:t>paraffin</w:t>
            </w:r>
            <w:r w:rsidRPr="002224E5">
              <w:t>e</w:t>
            </w:r>
          </w:p>
        </w:tc>
      </w:tr>
      <w:tr w:rsidR="00186F73" w:rsidRPr="002224E5" w14:paraId="04E40EE4" w14:textId="77777777" w:rsidTr="00F37482">
        <w:tc>
          <w:tcPr>
            <w:tcW w:w="9889" w:type="dxa"/>
            <w:shd w:val="clear" w:color="auto" w:fill="auto"/>
          </w:tcPr>
          <w:p w14:paraId="02C6E002" w14:textId="77777777" w:rsidR="00186F73" w:rsidRPr="002224E5" w:rsidRDefault="00520589" w:rsidP="00B03C5F">
            <w:pPr>
              <w:jc w:val="both"/>
            </w:pPr>
            <w:r w:rsidRPr="002224E5">
              <w:t xml:space="preserve">- </w:t>
            </w:r>
            <w:r w:rsidRPr="002224E5">
              <w:rPr>
                <w:b/>
              </w:rPr>
              <w:t xml:space="preserve">Séquençage </w:t>
            </w:r>
            <w:r w:rsidR="00186F73" w:rsidRPr="002224E5">
              <w:rPr>
                <w:b/>
              </w:rPr>
              <w:t>nouvelle génération (NGS)</w:t>
            </w:r>
            <w:r w:rsidRPr="002224E5">
              <w:t xml:space="preserve"> s</w:t>
            </w:r>
            <w:r w:rsidR="00186F73" w:rsidRPr="002224E5">
              <w:t>ur plateforme Illumina</w:t>
            </w:r>
          </w:p>
          <w:p w14:paraId="228C580A" w14:textId="77777777" w:rsidR="00186F73" w:rsidRPr="002224E5" w:rsidRDefault="00907324" w:rsidP="000D4A3F">
            <w:pPr>
              <w:tabs>
                <w:tab w:val="left" w:pos="284"/>
                <w:tab w:val="left" w:pos="993"/>
              </w:tabs>
              <w:jc w:val="both"/>
            </w:pPr>
            <w:r w:rsidRPr="002224E5">
              <w:tab/>
              <w:t xml:space="preserve">- </w:t>
            </w:r>
            <w:r w:rsidR="00186F73" w:rsidRPr="002224E5">
              <w:t>ADN :</w:t>
            </w:r>
            <w:r w:rsidR="00BF15E7" w:rsidRPr="002224E5">
              <w:t xml:space="preserve"> </w:t>
            </w:r>
            <w:r w:rsidR="00BF15E7" w:rsidRPr="002224E5">
              <w:tab/>
            </w:r>
            <w:r w:rsidR="000D4A3F" w:rsidRPr="002224E5">
              <w:sym w:font="Wingdings" w:char="F077"/>
            </w:r>
            <w:r w:rsidR="000D4A3F" w:rsidRPr="002224E5">
              <w:t xml:space="preserve"> </w:t>
            </w:r>
            <w:r w:rsidR="00186F73" w:rsidRPr="002224E5">
              <w:t>panel de 500 gènes</w:t>
            </w:r>
            <w:r w:rsidR="00520589" w:rsidRPr="002224E5">
              <w:t xml:space="preserve"> (matériel congelé de préférence, mais possible en paraffine)</w:t>
            </w:r>
          </w:p>
          <w:p w14:paraId="7D1A2AA8" w14:textId="77777777" w:rsidR="00186F73" w:rsidRPr="002224E5" w:rsidRDefault="00BF15E7" w:rsidP="000D4A3F">
            <w:pPr>
              <w:tabs>
                <w:tab w:val="left" w:pos="284"/>
                <w:tab w:val="left" w:pos="993"/>
              </w:tabs>
              <w:jc w:val="both"/>
            </w:pPr>
            <w:r w:rsidRPr="002224E5">
              <w:tab/>
            </w:r>
            <w:r w:rsidRPr="002224E5">
              <w:tab/>
            </w:r>
            <w:r w:rsidR="000D4A3F" w:rsidRPr="002224E5">
              <w:sym w:font="Wingdings" w:char="F077"/>
            </w:r>
            <w:r w:rsidR="000D4A3F" w:rsidRPr="002224E5">
              <w:t xml:space="preserve"> </w:t>
            </w:r>
            <w:proofErr w:type="spellStart"/>
            <w:proofErr w:type="gramStart"/>
            <w:r w:rsidR="00520589" w:rsidRPr="002224E5">
              <w:t>w</w:t>
            </w:r>
            <w:r w:rsidR="00186F73" w:rsidRPr="002224E5">
              <w:t>hole</w:t>
            </w:r>
            <w:proofErr w:type="spellEnd"/>
            <w:proofErr w:type="gramEnd"/>
            <w:r w:rsidR="00186F73" w:rsidRPr="002224E5">
              <w:t>-exome en cours de mise en place</w:t>
            </w:r>
            <w:r w:rsidR="00520589" w:rsidRPr="002224E5">
              <w:t xml:space="preserve"> (matériel congelé)</w:t>
            </w:r>
          </w:p>
          <w:p w14:paraId="6FE37A9F" w14:textId="77777777" w:rsidR="00520589" w:rsidRPr="002224E5" w:rsidRDefault="00907324" w:rsidP="009B17F4">
            <w:pPr>
              <w:tabs>
                <w:tab w:val="left" w:pos="284"/>
              </w:tabs>
              <w:jc w:val="both"/>
              <w:rPr>
                <w:b/>
              </w:rPr>
            </w:pPr>
            <w:r w:rsidRPr="002224E5">
              <w:tab/>
              <w:t xml:space="preserve">- </w:t>
            </w:r>
            <w:r w:rsidR="00186F73" w:rsidRPr="002224E5">
              <w:t xml:space="preserve">ARN : RNA-Seq </w:t>
            </w:r>
            <w:r w:rsidR="00520589" w:rsidRPr="002224E5">
              <w:t>pour</w:t>
            </w:r>
            <w:r w:rsidR="00186F73" w:rsidRPr="002224E5">
              <w:t xml:space="preserve"> </w:t>
            </w:r>
            <w:proofErr w:type="spellStart"/>
            <w:r w:rsidR="00186F73" w:rsidRPr="002224E5">
              <w:t>whole</w:t>
            </w:r>
            <w:proofErr w:type="spellEnd"/>
            <w:r w:rsidR="00186F73" w:rsidRPr="002224E5">
              <w:t>-transcriptome en cours de mise en place</w:t>
            </w:r>
            <w:r w:rsidR="00520589" w:rsidRPr="002224E5">
              <w:t xml:space="preserve"> (matériel congelé)</w:t>
            </w:r>
          </w:p>
        </w:tc>
      </w:tr>
    </w:tbl>
    <w:p w14:paraId="3C1BEE4F" w14:textId="77777777" w:rsidR="000C4167" w:rsidRPr="002224E5" w:rsidRDefault="000C4167" w:rsidP="00B03C5F">
      <w:pPr>
        <w:spacing w:after="0"/>
        <w:jc w:val="both"/>
        <w:rPr>
          <w:sz w:val="2"/>
          <w:szCs w:val="2"/>
        </w:rPr>
      </w:pPr>
    </w:p>
    <w:sectPr w:rsidR="000C4167" w:rsidRPr="002224E5" w:rsidSect="00376353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4AD7" w14:textId="77777777" w:rsidR="00D90904" w:rsidRDefault="00D90904" w:rsidP="0056214C">
      <w:pPr>
        <w:spacing w:after="0" w:line="240" w:lineRule="auto"/>
      </w:pPr>
      <w:r>
        <w:separator/>
      </w:r>
    </w:p>
  </w:endnote>
  <w:endnote w:type="continuationSeparator" w:id="0">
    <w:p w14:paraId="417B68F2" w14:textId="77777777" w:rsidR="00D90904" w:rsidRDefault="00D90904" w:rsidP="0056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042308"/>
      <w:docPartObj>
        <w:docPartGallery w:val="Page Numbers (Bottom of Page)"/>
        <w:docPartUnique/>
      </w:docPartObj>
    </w:sdtPr>
    <w:sdtEndPr/>
    <w:sdtContent>
      <w:p w14:paraId="41FBA73F" w14:textId="77777777" w:rsidR="007C6AA9" w:rsidRDefault="007C6A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992">
          <w:rPr>
            <w:noProof/>
          </w:rPr>
          <w:t>2</w:t>
        </w:r>
        <w:r>
          <w:fldChar w:fldCharType="end"/>
        </w:r>
      </w:p>
    </w:sdtContent>
  </w:sdt>
  <w:p w14:paraId="6E4BEBD5" w14:textId="77777777" w:rsidR="007C6AA9" w:rsidRDefault="007C6A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BEF7" w14:textId="77777777" w:rsidR="00D90904" w:rsidRDefault="00D90904" w:rsidP="0056214C">
      <w:pPr>
        <w:spacing w:after="0" w:line="240" w:lineRule="auto"/>
      </w:pPr>
      <w:r>
        <w:separator/>
      </w:r>
    </w:p>
  </w:footnote>
  <w:footnote w:type="continuationSeparator" w:id="0">
    <w:p w14:paraId="27B99AEB" w14:textId="77777777" w:rsidR="00D90904" w:rsidRDefault="00D90904" w:rsidP="0056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C02F" w14:textId="77777777" w:rsidR="00FF747F" w:rsidRDefault="00FF747F">
    <w:pPr>
      <w:pStyle w:val="En-tte"/>
    </w:pPr>
    <w:r>
      <w:rPr>
        <w:noProof/>
        <w:lang w:eastAsia="fr-FR"/>
      </w:rPr>
      <w:drawing>
        <wp:inline distT="0" distB="0" distL="0" distR="0" wp14:anchorId="4AAF26AF" wp14:editId="3C6BEDA1">
          <wp:extent cx="1173599" cy="504000"/>
          <wp:effectExtent l="0" t="0" r="7620" b="0"/>
          <wp:docPr id="2" name="Image 2" descr="T:\- Fonds de diapos\Logo\Logo 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- Fonds de diapos\Logo\Logo _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599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2C086" w14:textId="77777777" w:rsidR="00FF747F" w:rsidRDefault="00FF74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6BA6"/>
    <w:multiLevelType w:val="hybridMultilevel"/>
    <w:tmpl w:val="0910F5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D1DC4"/>
    <w:multiLevelType w:val="hybridMultilevel"/>
    <w:tmpl w:val="385ED3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73008"/>
    <w:multiLevelType w:val="hybridMultilevel"/>
    <w:tmpl w:val="D19A9A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2908"/>
    <w:multiLevelType w:val="hybridMultilevel"/>
    <w:tmpl w:val="D47C10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B0B77"/>
    <w:multiLevelType w:val="hybridMultilevel"/>
    <w:tmpl w:val="0F3009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3707"/>
    <w:multiLevelType w:val="hybridMultilevel"/>
    <w:tmpl w:val="6AAEF3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178EB"/>
    <w:multiLevelType w:val="hybridMultilevel"/>
    <w:tmpl w:val="F82423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71FA9"/>
    <w:multiLevelType w:val="hybridMultilevel"/>
    <w:tmpl w:val="816A265A"/>
    <w:lvl w:ilvl="0" w:tplc="B0322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3D0695E">
      <w:numFmt w:val="bullet"/>
      <w:lvlText w:val="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D388B"/>
    <w:multiLevelType w:val="hybridMultilevel"/>
    <w:tmpl w:val="BAF023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04"/>
    <w:rsid w:val="000276E5"/>
    <w:rsid w:val="00044D61"/>
    <w:rsid w:val="000658DE"/>
    <w:rsid w:val="00070F63"/>
    <w:rsid w:val="000811FF"/>
    <w:rsid w:val="00084E12"/>
    <w:rsid w:val="000B3D76"/>
    <w:rsid w:val="000C4167"/>
    <w:rsid w:val="000C552B"/>
    <w:rsid w:val="000D0936"/>
    <w:rsid w:val="000D4A3F"/>
    <w:rsid w:val="000E7FA2"/>
    <w:rsid w:val="00113B78"/>
    <w:rsid w:val="001207A3"/>
    <w:rsid w:val="001276C4"/>
    <w:rsid w:val="00127B36"/>
    <w:rsid w:val="00131379"/>
    <w:rsid w:val="00152E9F"/>
    <w:rsid w:val="001704DD"/>
    <w:rsid w:val="001764E2"/>
    <w:rsid w:val="00185AED"/>
    <w:rsid w:val="00186F73"/>
    <w:rsid w:val="00190CA0"/>
    <w:rsid w:val="001A5AFA"/>
    <w:rsid w:val="001B2226"/>
    <w:rsid w:val="001B7CCC"/>
    <w:rsid w:val="00207CC5"/>
    <w:rsid w:val="00214AAD"/>
    <w:rsid w:val="0021657E"/>
    <w:rsid w:val="00221D8A"/>
    <w:rsid w:val="002224E5"/>
    <w:rsid w:val="00227D98"/>
    <w:rsid w:val="00235E28"/>
    <w:rsid w:val="00254B8B"/>
    <w:rsid w:val="002A1307"/>
    <w:rsid w:val="002A34F8"/>
    <w:rsid w:val="002B056A"/>
    <w:rsid w:val="002B32FC"/>
    <w:rsid w:val="002D137A"/>
    <w:rsid w:val="002E0C0B"/>
    <w:rsid w:val="00330D8B"/>
    <w:rsid w:val="00343093"/>
    <w:rsid w:val="00376353"/>
    <w:rsid w:val="003961AE"/>
    <w:rsid w:val="003B173A"/>
    <w:rsid w:val="003C1CF7"/>
    <w:rsid w:val="003F44EB"/>
    <w:rsid w:val="004102C7"/>
    <w:rsid w:val="00430968"/>
    <w:rsid w:val="004748AC"/>
    <w:rsid w:val="004A2B8B"/>
    <w:rsid w:val="004A4363"/>
    <w:rsid w:val="004B5409"/>
    <w:rsid w:val="004C5DD8"/>
    <w:rsid w:val="004F6575"/>
    <w:rsid w:val="0051783F"/>
    <w:rsid w:val="00520589"/>
    <w:rsid w:val="005216ED"/>
    <w:rsid w:val="00524167"/>
    <w:rsid w:val="00526C53"/>
    <w:rsid w:val="00542B68"/>
    <w:rsid w:val="00561049"/>
    <w:rsid w:val="0056214C"/>
    <w:rsid w:val="00565A41"/>
    <w:rsid w:val="00567DC7"/>
    <w:rsid w:val="005A1EC5"/>
    <w:rsid w:val="005C4B92"/>
    <w:rsid w:val="005F5A96"/>
    <w:rsid w:val="00606D25"/>
    <w:rsid w:val="00623929"/>
    <w:rsid w:val="00651061"/>
    <w:rsid w:val="0066122F"/>
    <w:rsid w:val="006628E8"/>
    <w:rsid w:val="00667B46"/>
    <w:rsid w:val="00667BD1"/>
    <w:rsid w:val="00681225"/>
    <w:rsid w:val="00684CFE"/>
    <w:rsid w:val="00685310"/>
    <w:rsid w:val="006F169F"/>
    <w:rsid w:val="006F36E2"/>
    <w:rsid w:val="0070113F"/>
    <w:rsid w:val="0070456C"/>
    <w:rsid w:val="00707410"/>
    <w:rsid w:val="007116F6"/>
    <w:rsid w:val="00715A49"/>
    <w:rsid w:val="00746277"/>
    <w:rsid w:val="00751AED"/>
    <w:rsid w:val="007A2611"/>
    <w:rsid w:val="007B54E1"/>
    <w:rsid w:val="007C6AA9"/>
    <w:rsid w:val="007D2CAC"/>
    <w:rsid w:val="007D4F94"/>
    <w:rsid w:val="007D55F1"/>
    <w:rsid w:val="00815DF9"/>
    <w:rsid w:val="0083079F"/>
    <w:rsid w:val="00847451"/>
    <w:rsid w:val="008737DC"/>
    <w:rsid w:val="008A027F"/>
    <w:rsid w:val="008C6D84"/>
    <w:rsid w:val="008F6D36"/>
    <w:rsid w:val="00907324"/>
    <w:rsid w:val="00925616"/>
    <w:rsid w:val="00971A81"/>
    <w:rsid w:val="009724FC"/>
    <w:rsid w:val="0098046C"/>
    <w:rsid w:val="009A1B37"/>
    <w:rsid w:val="009B019A"/>
    <w:rsid w:val="009B17F4"/>
    <w:rsid w:val="009B276E"/>
    <w:rsid w:val="009C69C8"/>
    <w:rsid w:val="009D0391"/>
    <w:rsid w:val="009F05D7"/>
    <w:rsid w:val="009F2D78"/>
    <w:rsid w:val="00A125AF"/>
    <w:rsid w:val="00A27F90"/>
    <w:rsid w:val="00A30C92"/>
    <w:rsid w:val="00A603E3"/>
    <w:rsid w:val="00A722F0"/>
    <w:rsid w:val="00A7357F"/>
    <w:rsid w:val="00A76A27"/>
    <w:rsid w:val="00A933E8"/>
    <w:rsid w:val="00AB00BE"/>
    <w:rsid w:val="00AB4F7F"/>
    <w:rsid w:val="00AC336B"/>
    <w:rsid w:val="00AE760C"/>
    <w:rsid w:val="00AF518B"/>
    <w:rsid w:val="00B02E48"/>
    <w:rsid w:val="00B03C5F"/>
    <w:rsid w:val="00B115AC"/>
    <w:rsid w:val="00B23447"/>
    <w:rsid w:val="00B554F7"/>
    <w:rsid w:val="00B84061"/>
    <w:rsid w:val="00B85EBC"/>
    <w:rsid w:val="00BA4E88"/>
    <w:rsid w:val="00BB0A78"/>
    <w:rsid w:val="00BC2BDD"/>
    <w:rsid w:val="00BD5772"/>
    <w:rsid w:val="00BE1707"/>
    <w:rsid w:val="00BE1BB7"/>
    <w:rsid w:val="00BF15E7"/>
    <w:rsid w:val="00C36992"/>
    <w:rsid w:val="00C451EE"/>
    <w:rsid w:val="00C544ED"/>
    <w:rsid w:val="00C611B9"/>
    <w:rsid w:val="00C67A3B"/>
    <w:rsid w:val="00C7334A"/>
    <w:rsid w:val="00C84104"/>
    <w:rsid w:val="00C90019"/>
    <w:rsid w:val="00C90EB1"/>
    <w:rsid w:val="00C976D0"/>
    <w:rsid w:val="00CA4B23"/>
    <w:rsid w:val="00D02D0F"/>
    <w:rsid w:val="00D13E4C"/>
    <w:rsid w:val="00D17075"/>
    <w:rsid w:val="00D46ADD"/>
    <w:rsid w:val="00D721A6"/>
    <w:rsid w:val="00D80DEA"/>
    <w:rsid w:val="00D90904"/>
    <w:rsid w:val="00DF5FDE"/>
    <w:rsid w:val="00E22F16"/>
    <w:rsid w:val="00E26885"/>
    <w:rsid w:val="00E26A1B"/>
    <w:rsid w:val="00E32111"/>
    <w:rsid w:val="00E445D1"/>
    <w:rsid w:val="00E62092"/>
    <w:rsid w:val="00E72DFE"/>
    <w:rsid w:val="00F01729"/>
    <w:rsid w:val="00F17F71"/>
    <w:rsid w:val="00F21F23"/>
    <w:rsid w:val="00F2509E"/>
    <w:rsid w:val="00F30691"/>
    <w:rsid w:val="00F37482"/>
    <w:rsid w:val="00F71107"/>
    <w:rsid w:val="00F93603"/>
    <w:rsid w:val="00F96287"/>
    <w:rsid w:val="00FA4AEB"/>
    <w:rsid w:val="00FB062C"/>
    <w:rsid w:val="00FD27A0"/>
    <w:rsid w:val="00FD4FCF"/>
    <w:rsid w:val="00FE1BB7"/>
    <w:rsid w:val="00FE20FB"/>
    <w:rsid w:val="00FE2215"/>
    <w:rsid w:val="00FE3AE5"/>
    <w:rsid w:val="00FF14D1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3747"/>
  <w15:docId w15:val="{4C9DF86E-868C-43F9-825F-84F9411B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D80D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84104"/>
    <w:rPr>
      <w:b/>
      <w:bCs/>
    </w:rPr>
  </w:style>
  <w:style w:type="table" w:styleId="Grilledutableau">
    <w:name w:val="Table Grid"/>
    <w:basedOn w:val="TableauNormal"/>
    <w:uiPriority w:val="59"/>
    <w:rsid w:val="0060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C4167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D80D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st">
    <w:name w:val="st"/>
    <w:basedOn w:val="Policepardfaut"/>
    <w:rsid w:val="006F36E2"/>
  </w:style>
  <w:style w:type="character" w:styleId="Accentuation">
    <w:name w:val="Emphasis"/>
    <w:basedOn w:val="Policepardfaut"/>
    <w:uiPriority w:val="20"/>
    <w:qFormat/>
    <w:rsid w:val="006F36E2"/>
    <w:rPr>
      <w:i/>
      <w:iCs/>
    </w:rPr>
  </w:style>
  <w:style w:type="paragraph" w:styleId="Paragraphedeliste">
    <w:name w:val="List Paragraph"/>
    <w:basedOn w:val="Normal"/>
    <w:uiPriority w:val="34"/>
    <w:qFormat/>
    <w:rsid w:val="007A26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14C"/>
  </w:style>
  <w:style w:type="paragraph" w:styleId="Pieddepage">
    <w:name w:val="footer"/>
    <w:basedOn w:val="Normal"/>
    <w:link w:val="PieddepageCar"/>
    <w:uiPriority w:val="99"/>
    <w:unhideWhenUsed/>
    <w:rsid w:val="0056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14C"/>
  </w:style>
  <w:style w:type="paragraph" w:styleId="Textedebulles">
    <w:name w:val="Balloon Text"/>
    <w:basedOn w:val="Normal"/>
    <w:link w:val="TextedebullesCar"/>
    <w:uiPriority w:val="99"/>
    <w:semiHidden/>
    <w:unhideWhenUsed/>
    <w:rsid w:val="00B0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C5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03C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C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C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3C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3C5F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61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00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6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24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5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360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single" w:sz="6" w:space="2" w:color="696565"/>
                                    <w:left w:val="single" w:sz="6" w:space="2" w:color="696565"/>
                                    <w:bottom w:val="single" w:sz="6" w:space="2" w:color="696565"/>
                                    <w:right w:val="single" w:sz="6" w:space="2" w:color="696565"/>
                                  </w:divBdr>
                                  <w:divsChild>
                                    <w:div w:id="148419484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0749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25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biomol@ipc-unicancer.mssante.fr" TargetMode="External"/><Relationship Id="rId13" Type="http://schemas.openxmlformats.org/officeDocument/2006/relationships/hyperlink" Target="https://ipcnet-extranet.ipc.unicancer.fr/medecin/documents%20bdc/Manuel%20de%20pr%C3%A9l%C3%A8vement%20et%20r%C3%A9f%C3%A9rentiel%20des%20analyses%20de%20biologie%20du%20canc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pcnet-extranet.ipc.unicancer.fr/medecin/documents%20bdc/Manuel%20de%20pr%C3%A9l%C3%A8vement%20et%20r%C3%A9f%C3%A9rentiel%20des%20analyses%20de%20biologie%20du%20cancer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cnet-extranet.ipc.unicancer.fr/medecin/documents%20bdc/2019_25janv_Note%20info%20%C3%A9tude%20tumorale%20BRCA_GGC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pcnet-extranet.ipc.unicancer.fr/medecin/documents%20bdc/1379-PRESCRIPTION%20D%E2%80%99EXAMEN%20DE%20G%C3%89N%C3%89TIQUE%20SOMATIQUE%20TH%C3%89RANOSTIQU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cnet-extranet.ipc.unicancer.fr/medecin/documents%20bdc/1488-Prescription%20d%E2%80%99examen%20des%20caract%C3%A9ristiques%20g%C3%A9n%C3%A9tiques%20des%20personne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46CC-B48C-4C42-970F-CF5AFFBD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Paoli-Calmettes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ESTAVILLO/GIOVANNINI Marie-Helene</dc:creator>
  <cp:lastModifiedBy>Anna-Louise Angosto</cp:lastModifiedBy>
  <cp:revision>2</cp:revision>
  <cp:lastPrinted>2021-11-29T09:00:00Z</cp:lastPrinted>
  <dcterms:created xsi:type="dcterms:W3CDTF">2021-12-14T14:37:00Z</dcterms:created>
  <dcterms:modified xsi:type="dcterms:W3CDTF">2021-12-14T14:37:00Z</dcterms:modified>
</cp:coreProperties>
</file>